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B693"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01C51B3B" wp14:editId="01B25B5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5786DD13" w14:textId="6B0228E3"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6874B7">
        <w:rPr>
          <w:sz w:val="18"/>
        </w:rPr>
        <w:t>2023/5/24</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14:paraId="6BDBFA2A"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1F39A8E9" w14:textId="77777777" w:rsidTr="00A92FDB">
        <w:trPr>
          <w:cantSplit/>
          <w:trHeight w:val="750"/>
          <w:tblCellSpacing w:w="0" w:type="dxa"/>
        </w:trPr>
        <w:tc>
          <w:tcPr>
            <w:tcW w:w="557" w:type="pct"/>
            <w:tcBorders>
              <w:top w:val="nil"/>
              <w:left w:val="nil"/>
              <w:bottom w:val="nil"/>
              <w:right w:val="nil"/>
            </w:tcBorders>
            <w:shd w:val="clear" w:color="auto" w:fill="CC3300"/>
            <w:vAlign w:val="center"/>
          </w:tcPr>
          <w:p w14:paraId="71191C69"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6B63CB6C" w14:textId="543292C2" w:rsidR="00A6011A" w:rsidRPr="00703E61" w:rsidRDefault="00DB012F" w:rsidP="0099154E">
            <w:pPr>
              <w:ind w:leftChars="-6" w:left="-12" w:rightChars="-6" w:right="-12"/>
              <w:jc w:val="center"/>
              <w:rPr>
                <w:rFonts w:ascii="Arial Unicode MS" w:hAnsi="Arial Unicode MS"/>
                <w:b/>
                <w:bCs/>
                <w:color w:val="000000"/>
                <w:sz w:val="28"/>
                <w:szCs w:val="28"/>
              </w:rPr>
            </w:pPr>
            <w:r w:rsidRPr="00E32A76">
              <w:rPr>
                <w:rFonts w:ascii="新細明體" w:eastAsia="標楷體" w:hAnsi="新細明體" w:hint="eastAsia"/>
                <w:bCs/>
                <w:sz w:val="30"/>
                <w:szCs w:val="30"/>
                <w14:shadow w14:blurRad="50800" w14:dist="38100" w14:dir="2700000" w14:sx="100000" w14:sy="100000" w14:kx="0" w14:ky="0" w14:algn="tl">
                  <w14:srgbClr w14:val="000000">
                    <w14:alpha w14:val="60000"/>
                  </w14:srgbClr>
                </w14:shadow>
              </w:rPr>
              <w:t>食農教育法</w:t>
            </w:r>
          </w:p>
        </w:tc>
        <w:tc>
          <w:tcPr>
            <w:tcW w:w="1763" w:type="pct"/>
            <w:tcBorders>
              <w:top w:val="nil"/>
              <w:left w:val="nil"/>
              <w:bottom w:val="nil"/>
              <w:right w:val="nil"/>
            </w:tcBorders>
            <w:shd w:val="clear" w:color="auto" w:fill="FFFAE5"/>
            <w:vAlign w:val="center"/>
          </w:tcPr>
          <w:p w14:paraId="69F8CBD8" w14:textId="6DF3573F" w:rsidR="00F57CF4" w:rsidRPr="0028557B" w:rsidRDefault="00E3177E" w:rsidP="00F57CF4">
            <w:pPr>
              <w:ind w:leftChars="-6" w:left="-12"/>
              <w:jc w:val="both"/>
              <w:rPr>
                <w:rFonts w:ascii="Arial Unicode MS" w:hAnsi="Arial Unicode MS"/>
                <w:color w:val="80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F57CF4" w:rsidRPr="00AC7DFB">
              <w:rPr>
                <w:rFonts w:ascii="Arial Unicode MS" w:hAnsi="Arial Unicode MS" w:hint="eastAsia"/>
                <w:color w:val="800000"/>
              </w:rPr>
              <w:t>民國</w:t>
            </w:r>
            <w:r w:rsidR="00F57CF4" w:rsidRPr="00AC7DFB">
              <w:rPr>
                <w:rFonts w:ascii="Arial Unicode MS" w:hAnsi="Arial Unicode MS" w:hint="eastAsia"/>
                <w:color w:val="800000"/>
              </w:rPr>
              <w:t>1</w:t>
            </w:r>
            <w:r w:rsidR="00F57CF4">
              <w:rPr>
                <w:rFonts w:ascii="Arial Unicode MS" w:hAnsi="Arial Unicode MS"/>
                <w:color w:val="800000"/>
              </w:rPr>
              <w:t>11</w:t>
            </w:r>
            <w:r w:rsidR="00F57CF4" w:rsidRPr="00AC7DFB">
              <w:rPr>
                <w:rFonts w:ascii="Arial Unicode MS" w:hAnsi="Arial Unicode MS" w:hint="eastAsia"/>
                <w:color w:val="800000"/>
              </w:rPr>
              <w:t>年</w:t>
            </w:r>
            <w:r w:rsidR="00F57CF4">
              <w:rPr>
                <w:rFonts w:ascii="Arial Unicode MS" w:hAnsi="Arial Unicode MS"/>
                <w:color w:val="800000"/>
              </w:rPr>
              <w:t>4</w:t>
            </w:r>
            <w:r w:rsidR="00F57CF4" w:rsidRPr="00AC7DFB">
              <w:rPr>
                <w:rFonts w:ascii="Arial Unicode MS" w:hAnsi="Arial Unicode MS" w:hint="eastAsia"/>
                <w:color w:val="800000"/>
              </w:rPr>
              <w:t>月</w:t>
            </w:r>
            <w:r w:rsidR="00F57CF4">
              <w:rPr>
                <w:rFonts w:ascii="Arial Unicode MS" w:hAnsi="Arial Unicode MS"/>
                <w:color w:val="800000"/>
              </w:rPr>
              <w:t>19</w:t>
            </w:r>
            <w:r w:rsidR="00F57CF4" w:rsidRPr="00AC7DFB">
              <w:rPr>
                <w:rFonts w:ascii="Arial Unicode MS" w:hAnsi="Arial Unicode MS" w:hint="eastAsia"/>
                <w:color w:val="800000"/>
              </w:rPr>
              <w:t>日</w:t>
            </w:r>
          </w:p>
          <w:p w14:paraId="3B0DE5E7" w14:textId="08B10865" w:rsidR="00A6011A" w:rsidRPr="003555EC" w:rsidRDefault="00F57CF4" w:rsidP="00F57CF4">
            <w:pPr>
              <w:ind w:leftChars="-6" w:left="-12"/>
              <w:jc w:val="both"/>
              <w:rPr>
                <w:rFonts w:ascii="Arial Unicode MS" w:hAnsi="Arial Unicode MS"/>
                <w:color w:val="800000"/>
              </w:rPr>
            </w:pPr>
            <w:r w:rsidRPr="0028557B">
              <w:rPr>
                <w:rFonts w:ascii="Arial Unicode MS" w:hAnsi="Arial Unicode MS"/>
                <w:color w:val="800000"/>
              </w:rPr>
              <w:t>【</w:t>
            </w:r>
            <w:r w:rsidRPr="0028557B">
              <w:rPr>
                <w:rFonts w:ascii="Arial Unicode MS" w:hAnsi="Arial Unicode MS" w:hint="eastAsia"/>
                <w:color w:val="800000"/>
              </w:rPr>
              <w:t>公布日期</w:t>
            </w:r>
            <w:r w:rsidRPr="0028557B">
              <w:rPr>
                <w:rFonts w:ascii="Arial Unicode MS" w:hAnsi="Arial Unicode MS"/>
                <w:color w:val="800000"/>
              </w:rPr>
              <w:t>】</w:t>
            </w:r>
            <w:r w:rsidRPr="00AC7DFB">
              <w:rPr>
                <w:rFonts w:ascii="Arial Unicode MS" w:hAnsi="Arial Unicode MS" w:hint="eastAsia"/>
                <w:color w:val="800000"/>
              </w:rPr>
              <w:t>民國</w:t>
            </w:r>
            <w:r>
              <w:rPr>
                <w:rFonts w:ascii="Arial Unicode MS" w:hAnsi="Arial Unicode MS"/>
                <w:color w:val="800000"/>
              </w:rPr>
              <w:t>111</w:t>
            </w:r>
            <w:r w:rsidRPr="00AC7DFB">
              <w:rPr>
                <w:rFonts w:ascii="Arial Unicode MS" w:hAnsi="Arial Unicode MS" w:hint="eastAsia"/>
                <w:color w:val="800000"/>
              </w:rPr>
              <w:t>年</w:t>
            </w:r>
            <w:r>
              <w:rPr>
                <w:rFonts w:ascii="Arial Unicode MS" w:hAnsi="Arial Unicode MS"/>
                <w:color w:val="800000"/>
              </w:rPr>
              <w:t>5</w:t>
            </w:r>
            <w:r w:rsidRPr="00AC7DFB">
              <w:rPr>
                <w:rFonts w:ascii="Arial Unicode MS" w:hAnsi="Arial Unicode MS" w:hint="eastAsia"/>
                <w:color w:val="800000"/>
              </w:rPr>
              <w:t>月</w:t>
            </w:r>
            <w:r>
              <w:rPr>
                <w:rFonts w:ascii="Arial Unicode MS" w:hAnsi="Arial Unicode MS"/>
                <w:color w:val="800000"/>
              </w:rPr>
              <w:t>4</w:t>
            </w:r>
            <w:r w:rsidRPr="00AC7DFB">
              <w:rPr>
                <w:rFonts w:ascii="Arial Unicode MS" w:hAnsi="Arial Unicode MS" w:hint="eastAsia"/>
                <w:color w:val="800000"/>
              </w:rPr>
              <w:t>日</w:t>
            </w:r>
          </w:p>
        </w:tc>
      </w:tr>
    </w:tbl>
    <w:p w14:paraId="0211ABE5" w14:textId="5AE0B6E4"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食農教育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4"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AFC1AF9"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34A3B7CC" w14:textId="6CA4E2DE" w:rsidR="00A6011A" w:rsidRPr="009679D2"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9679D2" w:rsidRPr="009679D2">
        <w:rPr>
          <w:rFonts w:ascii="Arial Unicode MS" w:hAnsi="Arial Unicode MS" w:hint="eastAsia"/>
          <w:bCs/>
          <w:color w:val="666699"/>
          <w:sz w:val="18"/>
        </w:rPr>
        <w:t>中華民國一百十一年五月四日總統華總一經字第</w:t>
      </w:r>
      <w:r w:rsidR="009679D2" w:rsidRPr="009679D2">
        <w:rPr>
          <w:rFonts w:ascii="Arial Unicode MS" w:hAnsi="Arial Unicode MS" w:hint="eastAsia"/>
          <w:bCs/>
          <w:color w:val="666699"/>
          <w:sz w:val="18"/>
        </w:rPr>
        <w:t>11100037911</w:t>
      </w:r>
      <w:r w:rsidR="009679D2" w:rsidRPr="009679D2">
        <w:rPr>
          <w:rFonts w:ascii="Arial Unicode MS" w:hAnsi="Arial Unicode MS" w:hint="eastAsia"/>
          <w:bCs/>
          <w:color w:val="666699"/>
          <w:sz w:val="18"/>
        </w:rPr>
        <w:t>號令制定公布全文</w:t>
      </w:r>
      <w:r w:rsidR="009679D2" w:rsidRPr="009679D2">
        <w:rPr>
          <w:rFonts w:ascii="Arial Unicode MS" w:hAnsi="Arial Unicode MS" w:hint="eastAsia"/>
          <w:bCs/>
          <w:color w:val="666699"/>
          <w:sz w:val="18"/>
        </w:rPr>
        <w:t>20</w:t>
      </w:r>
      <w:r w:rsidR="009679D2" w:rsidRPr="009679D2">
        <w:rPr>
          <w:rFonts w:ascii="Arial Unicode MS" w:hAnsi="Arial Unicode MS" w:hint="eastAsia"/>
          <w:bCs/>
          <w:color w:val="666699"/>
          <w:sz w:val="18"/>
        </w:rPr>
        <w:t>條；並自公布日施行</w:t>
      </w:r>
    </w:p>
    <w:p w14:paraId="1014C348" w14:textId="77777777" w:rsidR="00845988" w:rsidRPr="003555EC" w:rsidRDefault="00845988" w:rsidP="003014B8">
      <w:pPr>
        <w:ind w:leftChars="75" w:left="150"/>
        <w:jc w:val="both"/>
        <w:rPr>
          <w:rFonts w:ascii="Arial Unicode MS" w:hAnsi="Arial Unicode MS"/>
          <w:b/>
          <w:bCs/>
          <w:color w:val="800000"/>
        </w:rPr>
      </w:pPr>
    </w:p>
    <w:p w14:paraId="07945DC7" w14:textId="26D81FAE" w:rsidR="00A6011A" w:rsidRPr="00AF2E81" w:rsidRDefault="00D914A6" w:rsidP="003014B8">
      <w:pPr>
        <w:pStyle w:val="1"/>
        <w:jc w:val="both"/>
        <w:rPr>
          <w:color w:val="990000"/>
        </w:rPr>
      </w:pPr>
      <w:r>
        <w:rPr>
          <w:color w:val="990000"/>
        </w:rPr>
        <w:t>【法規內容】</w:t>
      </w:r>
    </w:p>
    <w:p w14:paraId="38F9F15E" w14:textId="77777777" w:rsidR="00D914A6" w:rsidRDefault="00E32A76" w:rsidP="003014B8">
      <w:pPr>
        <w:pStyle w:val="2"/>
        <w:jc w:val="both"/>
      </w:pPr>
      <w:bookmarkStart w:id="1" w:name="a1"/>
      <w:bookmarkEnd w:id="1"/>
      <w:r w:rsidRPr="00E32A76">
        <w:t>第</w:t>
      </w:r>
      <w:r w:rsidRPr="00E32A76">
        <w:t>1</w:t>
      </w:r>
      <w:r w:rsidR="00D914A6">
        <w:t>條</w:t>
      </w:r>
    </w:p>
    <w:p w14:paraId="4F4EB894" w14:textId="2A214C2A"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為推動全民食農教育，強化飲食、環境與農業之連結，以增進國民健康，傳承與發揚飲食及農業文化，促進農漁村、農業及環境之永續發展，健全國家食農教育體系及人才培育，特制定本法。</w:t>
      </w:r>
    </w:p>
    <w:p w14:paraId="0FFB4555" w14:textId="77777777" w:rsidR="00D914A6" w:rsidRDefault="00E32A76" w:rsidP="003014B8">
      <w:pPr>
        <w:pStyle w:val="2"/>
        <w:jc w:val="both"/>
      </w:pPr>
      <w:bookmarkStart w:id="2" w:name="a2"/>
      <w:bookmarkEnd w:id="2"/>
      <w:r w:rsidRPr="00E32A76">
        <w:t>第</w:t>
      </w:r>
      <w:r w:rsidRPr="00E32A76">
        <w:t>2</w:t>
      </w:r>
      <w:r w:rsidR="00D914A6">
        <w:t>條</w:t>
      </w:r>
    </w:p>
    <w:p w14:paraId="55D0007F" w14:textId="2D5AD339"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本法所稱主管機關：在中央為</w:t>
      </w:r>
      <w:hyperlink r:id="rId15" w:tgtFrame="_blank" w:history="1">
        <w:r w:rsidR="0049542C" w:rsidRPr="0049542C">
          <w:rPr>
            <w:rStyle w:val="a3"/>
            <w:szCs w:val="26"/>
          </w:rPr>
          <w:t>行政院農業委員會</w:t>
        </w:r>
      </w:hyperlink>
      <w:r w:rsidR="00E32A76" w:rsidRPr="00E32A76">
        <w:rPr>
          <w:color w:val="17365D"/>
        </w:rPr>
        <w:t>；在直轄市為直轄市政府；在縣（市）為縣（市）政府。</w:t>
      </w:r>
    </w:p>
    <w:p w14:paraId="0024F759" w14:textId="77777777" w:rsidR="00D914A6" w:rsidRDefault="00E32A76" w:rsidP="003014B8">
      <w:pPr>
        <w:pStyle w:val="2"/>
        <w:jc w:val="both"/>
      </w:pPr>
      <w:bookmarkStart w:id="3" w:name="a3"/>
      <w:bookmarkEnd w:id="3"/>
      <w:r w:rsidRPr="00E32A76">
        <w:t>第</w:t>
      </w:r>
      <w:r w:rsidRPr="00E32A76">
        <w:t>3</w:t>
      </w:r>
      <w:r w:rsidR="00D914A6">
        <w:t>條</w:t>
      </w:r>
    </w:p>
    <w:p w14:paraId="4E5441CA" w14:textId="68D75A15"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本法用詞，定義如下：</w:t>
      </w:r>
    </w:p>
    <w:p w14:paraId="6C383A40" w14:textId="77777777" w:rsidR="00D914A6" w:rsidRDefault="00E32A76" w:rsidP="003014B8">
      <w:pPr>
        <w:ind w:left="142"/>
        <w:jc w:val="both"/>
        <w:rPr>
          <w:color w:val="17365D"/>
        </w:rPr>
      </w:pPr>
      <w:r w:rsidRPr="00E32A76">
        <w:rPr>
          <w:color w:val="17365D"/>
        </w:rPr>
        <w:t xml:space="preserve">　　一、食農教育：指運用教育方法，培育國民瞭解國民基本農業生產、農產加工、友善環境、友善生產育養及畜牧、動物福利、食物選擇、餐飲製備知能及實踐、剩食處理，增進飲食、環境與農業連結，促使國民重視自身健康與農漁村、農業及環境之永續發展，並採取行動之教育過程</w:t>
      </w:r>
      <w:r w:rsidR="00D914A6">
        <w:rPr>
          <w:color w:val="17365D"/>
        </w:rPr>
        <w:t>。</w:t>
      </w:r>
    </w:p>
    <w:p w14:paraId="647C19CC" w14:textId="7BC646FF" w:rsidR="00D914A6" w:rsidRDefault="00D914A6" w:rsidP="003014B8">
      <w:pPr>
        <w:ind w:left="142"/>
        <w:jc w:val="both"/>
        <w:rPr>
          <w:color w:val="17365D"/>
        </w:rPr>
      </w:pPr>
      <w:r>
        <w:rPr>
          <w:color w:val="17365D"/>
        </w:rPr>
        <w:t xml:space="preserve">　　</w:t>
      </w:r>
      <w:r w:rsidRPr="00E32A76">
        <w:rPr>
          <w:color w:val="17365D"/>
        </w:rPr>
        <w:t>二</w:t>
      </w:r>
      <w:r>
        <w:rPr>
          <w:color w:val="17365D"/>
        </w:rPr>
        <w:t>、</w:t>
      </w:r>
      <w:r w:rsidR="00E32A76" w:rsidRPr="00E32A76">
        <w:rPr>
          <w:color w:val="17365D"/>
        </w:rPr>
        <w:t>地產地消：指優先消費當地當令生產之農產品</w:t>
      </w:r>
      <w:r>
        <w:rPr>
          <w:color w:val="17365D"/>
        </w:rPr>
        <w:t>。</w:t>
      </w:r>
    </w:p>
    <w:p w14:paraId="7B3FB736" w14:textId="6583E858" w:rsidR="00D914A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飲食文化：指各地區各族群對飲食方面之技術、習慣、禮儀及儀式活動，包括食材之選擇、獲得、調理、處理、保存及食物取用方式等</w:t>
      </w:r>
      <w:r>
        <w:rPr>
          <w:color w:val="17365D"/>
        </w:rPr>
        <w:t>。</w:t>
      </w:r>
    </w:p>
    <w:p w14:paraId="58D0F71B" w14:textId="04EDFA6D" w:rsidR="00D914A6" w:rsidRDefault="00D914A6" w:rsidP="003014B8">
      <w:pPr>
        <w:ind w:left="142"/>
        <w:jc w:val="both"/>
        <w:rPr>
          <w:color w:val="17365D"/>
        </w:rPr>
      </w:pPr>
      <w:r>
        <w:rPr>
          <w:color w:val="17365D"/>
        </w:rPr>
        <w:t xml:space="preserve">　　</w:t>
      </w:r>
      <w:r w:rsidRPr="00E32A76">
        <w:rPr>
          <w:color w:val="17365D"/>
        </w:rPr>
        <w:t>四</w:t>
      </w:r>
      <w:r>
        <w:rPr>
          <w:color w:val="17365D"/>
        </w:rPr>
        <w:t>、</w:t>
      </w:r>
      <w:r w:rsidR="00E32A76" w:rsidRPr="00E32A76">
        <w:rPr>
          <w:color w:val="17365D"/>
        </w:rPr>
        <w:t>食農素養：指為使國民在充分食農相關知識及資訊支持下，選擇合乎個人需求並有助農業及食安環境永續發展之國民素養</w:t>
      </w:r>
      <w:r>
        <w:rPr>
          <w:color w:val="17365D"/>
        </w:rPr>
        <w:t>。</w:t>
      </w:r>
    </w:p>
    <w:p w14:paraId="65A5FC06" w14:textId="382BE722" w:rsidR="00D914A6" w:rsidRDefault="00D914A6" w:rsidP="003014B8">
      <w:pPr>
        <w:ind w:left="142"/>
        <w:jc w:val="both"/>
        <w:rPr>
          <w:color w:val="17365D"/>
        </w:rPr>
      </w:pPr>
      <w:r>
        <w:rPr>
          <w:color w:val="17365D"/>
        </w:rPr>
        <w:t xml:space="preserve">　　</w:t>
      </w:r>
      <w:r w:rsidRPr="00E32A76">
        <w:rPr>
          <w:color w:val="17365D"/>
        </w:rPr>
        <w:t>五</w:t>
      </w:r>
      <w:r>
        <w:rPr>
          <w:color w:val="17365D"/>
        </w:rPr>
        <w:t>、</w:t>
      </w:r>
      <w:r w:rsidR="00E32A76" w:rsidRPr="00E32A76">
        <w:rPr>
          <w:color w:val="17365D"/>
        </w:rPr>
        <w:t>食農教育專業人員：指從事食農教育相關之教學、推廣、服務或諮詢之人員</w:t>
      </w:r>
      <w:r>
        <w:rPr>
          <w:color w:val="17365D"/>
        </w:rPr>
        <w:t>。</w:t>
      </w:r>
    </w:p>
    <w:p w14:paraId="213DC857" w14:textId="442B8E4D" w:rsidR="00E32A76" w:rsidRPr="00E32A76" w:rsidRDefault="00D914A6" w:rsidP="003014B8">
      <w:pPr>
        <w:ind w:left="142"/>
        <w:jc w:val="both"/>
        <w:rPr>
          <w:color w:val="17365D"/>
        </w:rPr>
      </w:pPr>
      <w:r>
        <w:rPr>
          <w:color w:val="17365D"/>
        </w:rPr>
        <w:t xml:space="preserve">　　</w:t>
      </w:r>
      <w:r w:rsidRPr="00E32A76">
        <w:rPr>
          <w:color w:val="17365D"/>
        </w:rPr>
        <w:t>六</w:t>
      </w:r>
      <w:r>
        <w:rPr>
          <w:color w:val="17365D"/>
        </w:rPr>
        <w:t>、</w:t>
      </w:r>
      <w:r w:rsidR="00E32A76" w:rsidRPr="00E32A76">
        <w:rPr>
          <w:color w:val="17365D"/>
        </w:rPr>
        <w:t>食農教育體系：為推動食農教育至個人、家庭及社會，以學校、社區、各類團體及政府各級機關（單位）等，共同推動食農教育所擬具系統化之各項措施。</w:t>
      </w:r>
    </w:p>
    <w:p w14:paraId="6A9966D1" w14:textId="77777777" w:rsidR="00D914A6" w:rsidRDefault="00E32A76" w:rsidP="003014B8">
      <w:pPr>
        <w:pStyle w:val="2"/>
        <w:jc w:val="both"/>
      </w:pPr>
      <w:bookmarkStart w:id="4" w:name="a4"/>
      <w:bookmarkEnd w:id="4"/>
      <w:r w:rsidRPr="00E32A76">
        <w:t>第</w:t>
      </w:r>
      <w:r w:rsidRPr="00E32A76">
        <w:t>4</w:t>
      </w:r>
      <w:r w:rsidR="00D914A6">
        <w:t>條</w:t>
      </w:r>
    </w:p>
    <w:p w14:paraId="4FD7D79F" w14:textId="46C87DD0"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食農教育之推動方針如下：</w:t>
      </w:r>
    </w:p>
    <w:p w14:paraId="1B208AD4" w14:textId="77777777" w:rsidR="00D914A6" w:rsidRDefault="00E32A76" w:rsidP="003014B8">
      <w:pPr>
        <w:ind w:left="142"/>
        <w:jc w:val="both"/>
        <w:rPr>
          <w:color w:val="17365D"/>
        </w:rPr>
      </w:pPr>
      <w:r w:rsidRPr="00E32A76">
        <w:rPr>
          <w:color w:val="17365D"/>
        </w:rPr>
        <w:t xml:space="preserve">　　一、支持認同在地農業：發展食農教育體系，推動全民食農教育運動，強化國民對於我國農業及農產品之認同、信賴及支持</w:t>
      </w:r>
      <w:r w:rsidR="00D914A6">
        <w:rPr>
          <w:color w:val="17365D"/>
        </w:rPr>
        <w:t>。</w:t>
      </w:r>
    </w:p>
    <w:p w14:paraId="725143D6" w14:textId="3EE7A47C" w:rsidR="00D914A6" w:rsidRDefault="00D914A6" w:rsidP="003014B8">
      <w:pPr>
        <w:ind w:left="142"/>
        <w:jc w:val="both"/>
        <w:rPr>
          <w:color w:val="17365D"/>
        </w:rPr>
      </w:pPr>
      <w:r>
        <w:rPr>
          <w:color w:val="17365D"/>
        </w:rPr>
        <w:t xml:space="preserve">　　</w:t>
      </w:r>
      <w:r w:rsidRPr="00E32A76">
        <w:rPr>
          <w:color w:val="17365D"/>
        </w:rPr>
        <w:t>二</w:t>
      </w:r>
      <w:r>
        <w:rPr>
          <w:color w:val="17365D"/>
        </w:rPr>
        <w:t>、</w:t>
      </w:r>
      <w:r w:rsidR="00E32A76" w:rsidRPr="00E32A76">
        <w:rPr>
          <w:color w:val="17365D"/>
        </w:rPr>
        <w:t>培養均衡飲食觀念：培養國民食農素養，建立均衡飲食消費觀念及習慣，落實健康、符合生態永續的飲食生活，增進國民健康</w:t>
      </w:r>
      <w:r>
        <w:rPr>
          <w:color w:val="17365D"/>
        </w:rPr>
        <w:t>。</w:t>
      </w:r>
    </w:p>
    <w:p w14:paraId="244D6BBD" w14:textId="70016479" w:rsidR="00D914A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珍惜食物減少浪費：實踐在地農產品消費、減少食物浪費、食材減量及減少剩食；並確保食品安全、糧食安全，促進農地、農業用水與其他資源合理及循環利用，致力於國民穩定取得糧食</w:t>
      </w:r>
      <w:r>
        <w:rPr>
          <w:color w:val="17365D"/>
        </w:rPr>
        <w:t>。</w:t>
      </w:r>
    </w:p>
    <w:p w14:paraId="218AFAE4" w14:textId="5B859980" w:rsidR="00D914A6" w:rsidRDefault="00D914A6" w:rsidP="003014B8">
      <w:pPr>
        <w:ind w:left="142"/>
        <w:jc w:val="both"/>
        <w:rPr>
          <w:color w:val="17365D"/>
        </w:rPr>
      </w:pPr>
      <w:r>
        <w:rPr>
          <w:color w:val="17365D"/>
        </w:rPr>
        <w:t xml:space="preserve">　　</w:t>
      </w:r>
      <w:r w:rsidRPr="00E32A76">
        <w:rPr>
          <w:color w:val="17365D"/>
        </w:rPr>
        <w:t>四</w:t>
      </w:r>
      <w:r>
        <w:rPr>
          <w:color w:val="17365D"/>
        </w:rPr>
        <w:t>、</w:t>
      </w:r>
      <w:r w:rsidR="00E32A76" w:rsidRPr="00E32A76">
        <w:rPr>
          <w:color w:val="17365D"/>
        </w:rPr>
        <w:t>傳承與創新飲食文化：鼓勵在地飲食文化的傳承與創新，創造生產者與消費者交流環境，促使國民理解在地飲食文化、農漁村特色及農業文化、維護農漁村永續發展，推行健康、符合生態永續的飲食生活</w:t>
      </w:r>
      <w:r>
        <w:rPr>
          <w:color w:val="17365D"/>
        </w:rPr>
        <w:t>。</w:t>
      </w:r>
    </w:p>
    <w:p w14:paraId="5F1ADBCD" w14:textId="2C690243" w:rsidR="00D914A6" w:rsidRDefault="00D914A6" w:rsidP="003014B8">
      <w:pPr>
        <w:ind w:left="142"/>
        <w:jc w:val="both"/>
        <w:rPr>
          <w:color w:val="17365D"/>
        </w:rPr>
      </w:pPr>
      <w:r>
        <w:rPr>
          <w:color w:val="17365D"/>
        </w:rPr>
        <w:lastRenderedPageBreak/>
        <w:t xml:space="preserve">　　</w:t>
      </w:r>
      <w:r w:rsidRPr="00E32A76">
        <w:rPr>
          <w:color w:val="17365D"/>
        </w:rPr>
        <w:t>五</w:t>
      </w:r>
      <w:r>
        <w:rPr>
          <w:color w:val="17365D"/>
        </w:rPr>
        <w:t>、</w:t>
      </w:r>
      <w:r w:rsidR="00E32A76" w:rsidRPr="00E32A76">
        <w:rPr>
          <w:color w:val="17365D"/>
        </w:rPr>
        <w:t>深化飲食連結農業：鼓勵國民參與農林漁牧業生產至飲食消費過程之各種食農教育活動，瞭解農業生產方法、農業科技與研發、農業知識、農業生態環境、友善生產育養及畜牧等農法基本知識，及慣行農業與友善生產方式之差異</w:t>
      </w:r>
      <w:r>
        <w:rPr>
          <w:color w:val="17365D"/>
        </w:rPr>
        <w:t>。</w:t>
      </w:r>
    </w:p>
    <w:p w14:paraId="4EF69988" w14:textId="6EDDEF46" w:rsidR="00D914A6" w:rsidRDefault="00D914A6" w:rsidP="003014B8">
      <w:pPr>
        <w:ind w:left="142"/>
        <w:jc w:val="both"/>
        <w:rPr>
          <w:color w:val="17365D"/>
        </w:rPr>
      </w:pPr>
      <w:r>
        <w:rPr>
          <w:color w:val="17365D"/>
        </w:rPr>
        <w:t xml:space="preserve">　　</w:t>
      </w:r>
      <w:r w:rsidRPr="00E32A76">
        <w:rPr>
          <w:color w:val="17365D"/>
        </w:rPr>
        <w:t>六</w:t>
      </w:r>
      <w:r>
        <w:rPr>
          <w:color w:val="17365D"/>
        </w:rPr>
        <w:t>、</w:t>
      </w:r>
      <w:r w:rsidR="00E32A76" w:rsidRPr="00E32A76">
        <w:rPr>
          <w:color w:val="17365D"/>
        </w:rPr>
        <w:t>地產地消永續農業：結合農產品、農產加工品之生產、加工與交易等過程，有益於在地生產、在地消費、整體經濟發展及促進就業，強化農產品生產安全之管理，增加農漁村就業機會，促進農業永續發展</w:t>
      </w:r>
      <w:r>
        <w:rPr>
          <w:color w:val="17365D"/>
        </w:rPr>
        <w:t>。</w:t>
      </w:r>
    </w:p>
    <w:p w14:paraId="35A71106" w14:textId="5F965F8D"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2</w:t>
      </w:r>
      <w:r w:rsidRPr="00D914A6">
        <w:rPr>
          <w:color w:val="404040" w:themeColor="text1" w:themeTint="BF"/>
          <w:sz w:val="18"/>
        </w:rPr>
        <w:t>﹞</w:t>
      </w:r>
      <w:r w:rsidR="00E32A76" w:rsidRPr="00E32A76">
        <w:rPr>
          <w:color w:val="17365D"/>
        </w:rPr>
        <w:t>主管機關應依前項推動方針訂定食農教育推動計畫，直轄市、縣（市）主管機關並應將該計畫報中央主管機關核定。</w:t>
      </w:r>
    </w:p>
    <w:p w14:paraId="3ECDD41A" w14:textId="77777777" w:rsidR="00D914A6" w:rsidRDefault="00E32A76" w:rsidP="003014B8">
      <w:pPr>
        <w:pStyle w:val="2"/>
        <w:jc w:val="both"/>
      </w:pPr>
      <w:bookmarkStart w:id="5" w:name="a5"/>
      <w:bookmarkEnd w:id="5"/>
      <w:r w:rsidRPr="00E32A76">
        <w:t>第</w:t>
      </w:r>
      <w:r w:rsidRPr="00E32A76">
        <w:t>5</w:t>
      </w:r>
      <w:r w:rsidR="00D914A6">
        <w:t>條</w:t>
      </w:r>
    </w:p>
    <w:p w14:paraId="7F7027B7" w14:textId="7660E083"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中央主管機關應考量國家發展方向與社會需求，依前條第一項所定推動方針訂定具體執行指標，並每五年檢討食農教育推動計畫之執行成果；其掌理事項如下：</w:t>
      </w:r>
    </w:p>
    <w:p w14:paraId="760E7C6D" w14:textId="77777777" w:rsidR="00D914A6" w:rsidRDefault="00E32A76" w:rsidP="003014B8">
      <w:pPr>
        <w:ind w:left="142"/>
        <w:jc w:val="both"/>
        <w:rPr>
          <w:color w:val="17365D"/>
        </w:rPr>
      </w:pPr>
      <w:r w:rsidRPr="00E32A76">
        <w:rPr>
          <w:color w:val="17365D"/>
        </w:rPr>
        <w:t xml:space="preserve">　　一、食農教育政策、法規之擬訂及督導</w:t>
      </w:r>
      <w:r w:rsidR="00D914A6">
        <w:rPr>
          <w:color w:val="17365D"/>
        </w:rPr>
        <w:t>。</w:t>
      </w:r>
    </w:p>
    <w:p w14:paraId="2EBEB1FC" w14:textId="22781692" w:rsidR="00D914A6" w:rsidRDefault="00D914A6" w:rsidP="003014B8">
      <w:pPr>
        <w:ind w:left="142"/>
        <w:jc w:val="both"/>
        <w:rPr>
          <w:color w:val="17365D"/>
        </w:rPr>
      </w:pPr>
      <w:r>
        <w:rPr>
          <w:color w:val="17365D"/>
        </w:rPr>
        <w:t xml:space="preserve">　　</w:t>
      </w:r>
      <w:r w:rsidRPr="00E32A76">
        <w:rPr>
          <w:color w:val="17365D"/>
        </w:rPr>
        <w:t>二</w:t>
      </w:r>
      <w:r>
        <w:rPr>
          <w:color w:val="17365D"/>
        </w:rPr>
        <w:t>、</w:t>
      </w:r>
      <w:r w:rsidR="00E32A76" w:rsidRPr="00E32A76">
        <w:rPr>
          <w:color w:val="17365D"/>
        </w:rPr>
        <w:t>食農教育工作之研究及推展</w:t>
      </w:r>
      <w:r>
        <w:rPr>
          <w:color w:val="17365D"/>
        </w:rPr>
        <w:t>。</w:t>
      </w:r>
    </w:p>
    <w:p w14:paraId="7943B2AE" w14:textId="7808455D" w:rsidR="00D914A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全國性食農教育之策劃及督導</w:t>
      </w:r>
      <w:r>
        <w:rPr>
          <w:color w:val="17365D"/>
        </w:rPr>
        <w:t>。</w:t>
      </w:r>
    </w:p>
    <w:p w14:paraId="5B286D42" w14:textId="38A616C8" w:rsidR="00D914A6" w:rsidRDefault="00D914A6" w:rsidP="003014B8">
      <w:pPr>
        <w:ind w:left="142"/>
        <w:jc w:val="both"/>
        <w:rPr>
          <w:color w:val="17365D"/>
        </w:rPr>
      </w:pPr>
      <w:r>
        <w:rPr>
          <w:color w:val="17365D"/>
        </w:rPr>
        <w:t xml:space="preserve">　　</w:t>
      </w:r>
      <w:r w:rsidRPr="00E32A76">
        <w:rPr>
          <w:color w:val="17365D"/>
        </w:rPr>
        <w:t>四</w:t>
      </w:r>
      <w:r>
        <w:rPr>
          <w:color w:val="17365D"/>
        </w:rPr>
        <w:t>、</w:t>
      </w:r>
      <w:r w:rsidR="00E32A76" w:rsidRPr="00E32A76">
        <w:rPr>
          <w:color w:val="17365D"/>
        </w:rPr>
        <w:t>食農教育專業人員之培訓及在職訓練</w:t>
      </w:r>
      <w:r>
        <w:rPr>
          <w:color w:val="17365D"/>
        </w:rPr>
        <w:t>。</w:t>
      </w:r>
    </w:p>
    <w:p w14:paraId="6792B714" w14:textId="1E0D39AF" w:rsidR="00D914A6" w:rsidRDefault="00D914A6" w:rsidP="003014B8">
      <w:pPr>
        <w:ind w:left="142"/>
        <w:jc w:val="both"/>
        <w:rPr>
          <w:color w:val="17365D"/>
        </w:rPr>
      </w:pPr>
      <w:r>
        <w:rPr>
          <w:color w:val="17365D"/>
        </w:rPr>
        <w:t xml:space="preserve">　　</w:t>
      </w:r>
      <w:r w:rsidRPr="00E32A76">
        <w:rPr>
          <w:color w:val="17365D"/>
        </w:rPr>
        <w:t>五</w:t>
      </w:r>
      <w:r>
        <w:rPr>
          <w:color w:val="17365D"/>
        </w:rPr>
        <w:t>、</w:t>
      </w:r>
      <w:r w:rsidR="00E32A76" w:rsidRPr="00E32A76">
        <w:rPr>
          <w:color w:val="17365D"/>
        </w:rPr>
        <w:t>國際食農教育業務之聯繫、交流及合作事項</w:t>
      </w:r>
      <w:r>
        <w:rPr>
          <w:color w:val="17365D"/>
        </w:rPr>
        <w:t>。</w:t>
      </w:r>
    </w:p>
    <w:p w14:paraId="5FC58F81" w14:textId="73D260E6" w:rsidR="00D914A6" w:rsidRDefault="00D914A6" w:rsidP="003014B8">
      <w:pPr>
        <w:ind w:left="142"/>
        <w:jc w:val="both"/>
        <w:rPr>
          <w:color w:val="17365D"/>
        </w:rPr>
      </w:pPr>
      <w:r>
        <w:rPr>
          <w:color w:val="17365D"/>
        </w:rPr>
        <w:t xml:space="preserve">　　</w:t>
      </w:r>
      <w:r w:rsidRPr="00E32A76">
        <w:rPr>
          <w:color w:val="17365D"/>
        </w:rPr>
        <w:t>六</w:t>
      </w:r>
      <w:r>
        <w:rPr>
          <w:color w:val="17365D"/>
        </w:rPr>
        <w:t>、</w:t>
      </w:r>
      <w:r w:rsidR="00E32A76" w:rsidRPr="00E32A76">
        <w:rPr>
          <w:color w:val="17365D"/>
        </w:rPr>
        <w:t>其他有關全國性食農教育推展之事項</w:t>
      </w:r>
      <w:r>
        <w:rPr>
          <w:color w:val="17365D"/>
        </w:rPr>
        <w:t>。</w:t>
      </w:r>
    </w:p>
    <w:p w14:paraId="1E460183" w14:textId="0562F661"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2</w:t>
      </w:r>
      <w:r w:rsidRPr="00D914A6">
        <w:rPr>
          <w:color w:val="404040" w:themeColor="text1" w:themeTint="BF"/>
          <w:sz w:val="18"/>
        </w:rPr>
        <w:t>﹞</w:t>
      </w:r>
      <w:r w:rsidR="00E32A76" w:rsidRPr="00E32A76">
        <w:rPr>
          <w:color w:val="17365D"/>
        </w:rPr>
        <w:t>前項第四款食農教育專業人員應具備之資格與其認可、廢止、遴聘、培訓、在職訓練及其他相關事項之</w:t>
      </w:r>
      <w:hyperlink r:id="rId16" w:history="1">
        <w:r w:rsidR="00E32A76" w:rsidRPr="007A5494">
          <w:rPr>
            <w:rStyle w:val="a3"/>
            <w:rFonts w:ascii="Times New Roman" w:hAnsi="Times New Roman"/>
          </w:rPr>
          <w:t>辦法</w:t>
        </w:r>
      </w:hyperlink>
      <w:r w:rsidR="00E32A76" w:rsidRPr="00E32A76">
        <w:rPr>
          <w:color w:val="17365D"/>
        </w:rPr>
        <w:t>，由中央主管機關定之。</w:t>
      </w:r>
    </w:p>
    <w:p w14:paraId="49963028" w14:textId="77777777" w:rsidR="00D914A6" w:rsidRDefault="00E32A76" w:rsidP="003014B8">
      <w:pPr>
        <w:pStyle w:val="2"/>
        <w:jc w:val="both"/>
      </w:pPr>
      <w:bookmarkStart w:id="6" w:name="a6"/>
      <w:bookmarkEnd w:id="6"/>
      <w:r w:rsidRPr="00E32A76">
        <w:t>第</w:t>
      </w:r>
      <w:r w:rsidRPr="00E32A76">
        <w:t>6</w:t>
      </w:r>
      <w:r w:rsidR="00D914A6">
        <w:t>條</w:t>
      </w:r>
    </w:p>
    <w:p w14:paraId="59D13D07" w14:textId="4AB43E9F"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直轄市、縣（市）主管機關掌理事項如下：</w:t>
      </w:r>
    </w:p>
    <w:p w14:paraId="2B0DD494" w14:textId="77777777" w:rsidR="00D914A6" w:rsidRDefault="00E32A76" w:rsidP="003014B8">
      <w:pPr>
        <w:ind w:left="142"/>
        <w:jc w:val="both"/>
        <w:rPr>
          <w:color w:val="17365D"/>
        </w:rPr>
      </w:pPr>
      <w:r w:rsidRPr="00E32A76">
        <w:rPr>
          <w:color w:val="17365D"/>
        </w:rPr>
        <w:t xml:space="preserve">　　一、地方性食農教育之策劃、辦理及督導</w:t>
      </w:r>
      <w:r w:rsidR="00D914A6">
        <w:rPr>
          <w:color w:val="17365D"/>
        </w:rPr>
        <w:t>。</w:t>
      </w:r>
    </w:p>
    <w:p w14:paraId="7023084A" w14:textId="0C280952" w:rsidR="00D914A6" w:rsidRDefault="00D914A6" w:rsidP="003014B8">
      <w:pPr>
        <w:ind w:left="142"/>
        <w:jc w:val="both"/>
        <w:rPr>
          <w:color w:val="17365D"/>
        </w:rPr>
      </w:pPr>
      <w:r>
        <w:rPr>
          <w:color w:val="17365D"/>
        </w:rPr>
        <w:t xml:space="preserve">　　</w:t>
      </w:r>
      <w:r w:rsidRPr="00E32A76">
        <w:rPr>
          <w:color w:val="17365D"/>
        </w:rPr>
        <w:t>二</w:t>
      </w:r>
      <w:r>
        <w:rPr>
          <w:color w:val="17365D"/>
        </w:rPr>
        <w:t>、</w:t>
      </w:r>
      <w:r w:rsidR="00E32A76" w:rsidRPr="00E32A76">
        <w:rPr>
          <w:color w:val="17365D"/>
        </w:rPr>
        <w:t>所屬食農教育專業人員之在職訓練</w:t>
      </w:r>
      <w:r>
        <w:rPr>
          <w:color w:val="17365D"/>
        </w:rPr>
        <w:t>。</w:t>
      </w:r>
    </w:p>
    <w:p w14:paraId="33C4646D" w14:textId="0F4FC224" w:rsidR="00D914A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地方性食農教育之宣導及推展</w:t>
      </w:r>
      <w:r>
        <w:rPr>
          <w:color w:val="17365D"/>
        </w:rPr>
        <w:t>。</w:t>
      </w:r>
    </w:p>
    <w:p w14:paraId="1FEC0285" w14:textId="7981AB17" w:rsidR="00D914A6" w:rsidRDefault="00D914A6" w:rsidP="003014B8">
      <w:pPr>
        <w:ind w:left="142"/>
        <w:jc w:val="both"/>
        <w:rPr>
          <w:color w:val="17365D"/>
        </w:rPr>
      </w:pPr>
      <w:r>
        <w:rPr>
          <w:color w:val="17365D"/>
        </w:rPr>
        <w:t xml:space="preserve">　　</w:t>
      </w:r>
      <w:r w:rsidRPr="00E32A76">
        <w:rPr>
          <w:color w:val="17365D"/>
        </w:rPr>
        <w:t>四</w:t>
      </w:r>
      <w:r>
        <w:rPr>
          <w:color w:val="17365D"/>
        </w:rPr>
        <w:t>、</w:t>
      </w:r>
      <w:r w:rsidR="00E32A76" w:rsidRPr="00E32A76">
        <w:rPr>
          <w:color w:val="17365D"/>
        </w:rPr>
        <w:t>地方性食農教育資料之統整及交流</w:t>
      </w:r>
      <w:r>
        <w:rPr>
          <w:color w:val="17365D"/>
        </w:rPr>
        <w:t>。</w:t>
      </w:r>
    </w:p>
    <w:p w14:paraId="75C1009A" w14:textId="255A7466" w:rsidR="00E32A76" w:rsidRPr="00E32A76" w:rsidRDefault="00D914A6" w:rsidP="003014B8">
      <w:pPr>
        <w:ind w:left="142"/>
        <w:jc w:val="both"/>
        <w:rPr>
          <w:color w:val="17365D"/>
        </w:rPr>
      </w:pPr>
      <w:r>
        <w:rPr>
          <w:color w:val="17365D"/>
        </w:rPr>
        <w:t xml:space="preserve">　　</w:t>
      </w:r>
      <w:r w:rsidRPr="00E32A76">
        <w:rPr>
          <w:color w:val="17365D"/>
        </w:rPr>
        <w:t>五</w:t>
      </w:r>
      <w:r>
        <w:rPr>
          <w:color w:val="17365D"/>
        </w:rPr>
        <w:t>、</w:t>
      </w:r>
      <w:r w:rsidR="00E32A76" w:rsidRPr="00E32A76">
        <w:rPr>
          <w:color w:val="17365D"/>
        </w:rPr>
        <w:t>其他有關地方性食農教育推展之事項。</w:t>
      </w:r>
    </w:p>
    <w:p w14:paraId="1300EEB3" w14:textId="77777777" w:rsidR="00D914A6" w:rsidRDefault="00E32A76" w:rsidP="003014B8">
      <w:pPr>
        <w:pStyle w:val="2"/>
        <w:jc w:val="both"/>
      </w:pPr>
      <w:bookmarkStart w:id="7" w:name="a7"/>
      <w:bookmarkEnd w:id="7"/>
      <w:r w:rsidRPr="00E32A76">
        <w:t>第</w:t>
      </w:r>
      <w:r w:rsidRPr="00E32A76">
        <w:t>7</w:t>
      </w:r>
      <w:r w:rsidR="00D914A6">
        <w:t>條</w:t>
      </w:r>
    </w:p>
    <w:p w14:paraId="0EDB0FAA" w14:textId="6491EB10"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本法所定事項，涉及中央各目的事業主管機關職掌者，其權責劃分如下：</w:t>
      </w:r>
    </w:p>
    <w:p w14:paraId="0A5C5ED1" w14:textId="77777777" w:rsidR="00D914A6" w:rsidRDefault="00E32A76" w:rsidP="003014B8">
      <w:pPr>
        <w:ind w:left="142"/>
        <w:jc w:val="both"/>
        <w:rPr>
          <w:color w:val="17365D"/>
        </w:rPr>
      </w:pPr>
      <w:r w:rsidRPr="00E32A76">
        <w:rPr>
          <w:color w:val="17365D"/>
        </w:rPr>
        <w:t xml:space="preserve">　　一、衛生及社會福利主管機關：營養與均衡飲食、食品安全衛生之規劃、推動及監督事項</w:t>
      </w:r>
      <w:r w:rsidR="00D914A6">
        <w:rPr>
          <w:color w:val="17365D"/>
        </w:rPr>
        <w:t>。</w:t>
      </w:r>
    </w:p>
    <w:p w14:paraId="272B296F" w14:textId="3C9ED6CA" w:rsidR="00D914A6" w:rsidRDefault="00D914A6" w:rsidP="003014B8">
      <w:pPr>
        <w:ind w:left="142"/>
        <w:jc w:val="both"/>
        <w:rPr>
          <w:color w:val="17365D"/>
        </w:rPr>
      </w:pPr>
      <w:r>
        <w:rPr>
          <w:color w:val="17365D"/>
        </w:rPr>
        <w:t xml:space="preserve">　　</w:t>
      </w:r>
      <w:r w:rsidRPr="00E32A76">
        <w:rPr>
          <w:color w:val="17365D"/>
        </w:rPr>
        <w:t>二</w:t>
      </w:r>
      <w:r>
        <w:rPr>
          <w:color w:val="17365D"/>
        </w:rPr>
        <w:t>、</w:t>
      </w:r>
      <w:r w:rsidR="00E32A76" w:rsidRPr="00E32A76">
        <w:rPr>
          <w:color w:val="17365D"/>
        </w:rPr>
        <w:t>教育主管機關：學校與幼兒園食農教育之規劃、推動及監督事項</w:t>
      </w:r>
      <w:r>
        <w:rPr>
          <w:color w:val="17365D"/>
        </w:rPr>
        <w:t>。</w:t>
      </w:r>
    </w:p>
    <w:p w14:paraId="4AFC9A1E" w14:textId="2938C050" w:rsidR="00D914A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環境主管機關：廚餘再利用之規劃、推動及監督事項</w:t>
      </w:r>
      <w:r>
        <w:rPr>
          <w:color w:val="17365D"/>
        </w:rPr>
        <w:t>。</w:t>
      </w:r>
    </w:p>
    <w:p w14:paraId="49898D9F" w14:textId="5F6E340C" w:rsidR="00D914A6" w:rsidRDefault="00D914A6" w:rsidP="003014B8">
      <w:pPr>
        <w:ind w:left="142"/>
        <w:jc w:val="both"/>
        <w:rPr>
          <w:color w:val="17365D"/>
        </w:rPr>
      </w:pPr>
      <w:r>
        <w:rPr>
          <w:color w:val="17365D"/>
        </w:rPr>
        <w:t xml:space="preserve">　　</w:t>
      </w:r>
      <w:r w:rsidRPr="00E32A76">
        <w:rPr>
          <w:color w:val="17365D"/>
        </w:rPr>
        <w:t>四</w:t>
      </w:r>
      <w:r>
        <w:rPr>
          <w:color w:val="17365D"/>
        </w:rPr>
        <w:t>、</w:t>
      </w:r>
      <w:r w:rsidR="00E32A76" w:rsidRPr="00E32A76">
        <w:rPr>
          <w:color w:val="17365D"/>
        </w:rPr>
        <w:t>文化主管機關：各族群、不同社群飲食文化之研究及推廣事項</w:t>
      </w:r>
      <w:r>
        <w:rPr>
          <w:color w:val="17365D"/>
        </w:rPr>
        <w:t>。</w:t>
      </w:r>
    </w:p>
    <w:p w14:paraId="7A22AF89" w14:textId="1B884CCE" w:rsidR="00D914A6" w:rsidRDefault="00D914A6" w:rsidP="003014B8">
      <w:pPr>
        <w:ind w:left="142"/>
        <w:jc w:val="both"/>
        <w:rPr>
          <w:color w:val="17365D"/>
        </w:rPr>
      </w:pPr>
      <w:r>
        <w:rPr>
          <w:color w:val="17365D"/>
        </w:rPr>
        <w:t xml:space="preserve">　　</w:t>
      </w:r>
      <w:r w:rsidRPr="00E32A76">
        <w:rPr>
          <w:color w:val="17365D"/>
        </w:rPr>
        <w:t>五</w:t>
      </w:r>
      <w:r>
        <w:rPr>
          <w:color w:val="17365D"/>
        </w:rPr>
        <w:t>、</w:t>
      </w:r>
      <w:r w:rsidR="00E32A76" w:rsidRPr="00E32A76">
        <w:rPr>
          <w:color w:val="17365D"/>
        </w:rPr>
        <w:t>原住民族主管機關：原住民族之營養、均衡飲食、傳統農作及飲食文化之推廣事項及原住民族籍食農教育專業人員培訓規劃</w:t>
      </w:r>
      <w:r>
        <w:rPr>
          <w:color w:val="17365D"/>
        </w:rPr>
        <w:t>。</w:t>
      </w:r>
    </w:p>
    <w:p w14:paraId="32145B13" w14:textId="5A72FA3D" w:rsidR="00D914A6" w:rsidRDefault="00D914A6" w:rsidP="003014B8">
      <w:pPr>
        <w:ind w:left="142"/>
        <w:jc w:val="both"/>
        <w:rPr>
          <w:color w:val="17365D"/>
        </w:rPr>
      </w:pPr>
      <w:r>
        <w:rPr>
          <w:color w:val="17365D"/>
        </w:rPr>
        <w:t xml:space="preserve">　　</w:t>
      </w:r>
      <w:r w:rsidRPr="00E32A76">
        <w:rPr>
          <w:color w:val="17365D"/>
        </w:rPr>
        <w:t>六</w:t>
      </w:r>
      <w:r>
        <w:rPr>
          <w:color w:val="17365D"/>
        </w:rPr>
        <w:t>、</w:t>
      </w:r>
      <w:r w:rsidR="00E32A76" w:rsidRPr="00E32A76">
        <w:rPr>
          <w:color w:val="17365D"/>
        </w:rPr>
        <w:t>科技研究事務主管機關：農業輔助科技研發、技術研究移轉與應用等相關事項之規劃及推動</w:t>
      </w:r>
      <w:r>
        <w:rPr>
          <w:color w:val="17365D"/>
        </w:rPr>
        <w:t>。</w:t>
      </w:r>
    </w:p>
    <w:p w14:paraId="2CC0324B" w14:textId="5553236D" w:rsidR="00D914A6" w:rsidRDefault="00D914A6" w:rsidP="003014B8">
      <w:pPr>
        <w:ind w:left="142"/>
        <w:jc w:val="both"/>
        <w:rPr>
          <w:color w:val="17365D"/>
        </w:rPr>
      </w:pPr>
      <w:r>
        <w:rPr>
          <w:color w:val="17365D"/>
        </w:rPr>
        <w:t xml:space="preserve">　　</w:t>
      </w:r>
      <w:r w:rsidRPr="00E32A76">
        <w:rPr>
          <w:color w:val="17365D"/>
        </w:rPr>
        <w:t>七</w:t>
      </w:r>
      <w:r>
        <w:rPr>
          <w:color w:val="17365D"/>
        </w:rPr>
        <w:t>、</w:t>
      </w:r>
      <w:r w:rsidR="00E32A76" w:rsidRPr="00E32A76">
        <w:rPr>
          <w:color w:val="17365D"/>
        </w:rPr>
        <w:t>其他食農教育相關事項，由相關中央目的事業主管機關依職權辦理</w:t>
      </w:r>
      <w:r>
        <w:rPr>
          <w:color w:val="17365D"/>
        </w:rPr>
        <w:t>。</w:t>
      </w:r>
    </w:p>
    <w:p w14:paraId="438C491A" w14:textId="3D250FC8"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2</w:t>
      </w:r>
      <w:r w:rsidRPr="00D914A6">
        <w:rPr>
          <w:color w:val="404040" w:themeColor="text1" w:themeTint="BF"/>
          <w:sz w:val="18"/>
        </w:rPr>
        <w:t>﹞</w:t>
      </w:r>
      <w:r w:rsidR="00E32A76" w:rsidRPr="00E32A76">
        <w:rPr>
          <w:color w:val="17365D"/>
        </w:rPr>
        <w:t>中央主管機關為推動食農教育整體政策、方案、分工及預算，應會商中央目的事業主管機關辦理。</w:t>
      </w:r>
    </w:p>
    <w:p w14:paraId="7C2BD349" w14:textId="77777777" w:rsidR="00D914A6" w:rsidRDefault="00E32A76" w:rsidP="003014B8">
      <w:pPr>
        <w:pStyle w:val="2"/>
        <w:jc w:val="both"/>
      </w:pPr>
      <w:bookmarkStart w:id="8" w:name="a8"/>
      <w:bookmarkEnd w:id="8"/>
      <w:r w:rsidRPr="00E32A76">
        <w:t>第</w:t>
      </w:r>
      <w:r w:rsidRPr="00E32A76">
        <w:t>8</w:t>
      </w:r>
      <w:r w:rsidR="00D914A6">
        <w:t>條</w:t>
      </w:r>
    </w:p>
    <w:p w14:paraId="742F34FC" w14:textId="65D795DB"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主管機關為推動食農教育，應邀集相關機關代表、專家、學者及團體代表組成食農教育推動會，每年至少召</w:t>
      </w:r>
      <w:r w:rsidR="00E32A76" w:rsidRPr="00E32A76">
        <w:rPr>
          <w:color w:val="17365D"/>
        </w:rPr>
        <w:lastRenderedPageBreak/>
        <w:t>開二次會議，必要時得召開臨時會議，其任務如下：</w:t>
      </w:r>
    </w:p>
    <w:p w14:paraId="570FD03C" w14:textId="77777777" w:rsidR="00D914A6" w:rsidRDefault="00E32A76" w:rsidP="003014B8">
      <w:pPr>
        <w:ind w:left="142"/>
        <w:jc w:val="both"/>
        <w:rPr>
          <w:color w:val="17365D"/>
        </w:rPr>
      </w:pPr>
      <w:r w:rsidRPr="00E32A76">
        <w:rPr>
          <w:color w:val="17365D"/>
        </w:rPr>
        <w:t xml:space="preserve">　　一、監督與檢討食農教育政策及計畫</w:t>
      </w:r>
      <w:r w:rsidR="00D914A6">
        <w:rPr>
          <w:color w:val="17365D"/>
        </w:rPr>
        <w:t>。</w:t>
      </w:r>
    </w:p>
    <w:p w14:paraId="64D64D48" w14:textId="63B88503" w:rsidR="00D914A6" w:rsidRDefault="00D914A6" w:rsidP="003014B8">
      <w:pPr>
        <w:ind w:left="142"/>
        <w:jc w:val="both"/>
        <w:rPr>
          <w:color w:val="17365D"/>
        </w:rPr>
      </w:pPr>
      <w:r>
        <w:rPr>
          <w:color w:val="17365D"/>
        </w:rPr>
        <w:t xml:space="preserve">　　</w:t>
      </w:r>
      <w:r w:rsidRPr="00E32A76">
        <w:rPr>
          <w:color w:val="17365D"/>
        </w:rPr>
        <w:t>二</w:t>
      </w:r>
      <w:r>
        <w:rPr>
          <w:color w:val="17365D"/>
        </w:rPr>
        <w:t>、</w:t>
      </w:r>
      <w:r w:rsidR="00E32A76" w:rsidRPr="00E32A76">
        <w:rPr>
          <w:color w:val="17365D"/>
        </w:rPr>
        <w:t>提供有關食農教育政策、法規及計畫興革之意見</w:t>
      </w:r>
      <w:r>
        <w:rPr>
          <w:color w:val="17365D"/>
        </w:rPr>
        <w:t>。</w:t>
      </w:r>
    </w:p>
    <w:p w14:paraId="77C66328" w14:textId="5F6DA7FF" w:rsidR="00D914A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提供有關機關、團體推展食農教育督導及考核之意見</w:t>
      </w:r>
      <w:r>
        <w:rPr>
          <w:color w:val="17365D"/>
        </w:rPr>
        <w:t>。</w:t>
      </w:r>
    </w:p>
    <w:p w14:paraId="789127BF" w14:textId="06BE4ED0" w:rsidR="00D914A6" w:rsidRDefault="00D914A6" w:rsidP="003014B8">
      <w:pPr>
        <w:ind w:left="142"/>
        <w:jc w:val="both"/>
        <w:rPr>
          <w:color w:val="17365D"/>
        </w:rPr>
      </w:pPr>
      <w:r>
        <w:rPr>
          <w:color w:val="17365D"/>
        </w:rPr>
        <w:t xml:space="preserve">　　</w:t>
      </w:r>
      <w:r w:rsidRPr="00E32A76">
        <w:rPr>
          <w:color w:val="17365D"/>
        </w:rPr>
        <w:t>四</w:t>
      </w:r>
      <w:r>
        <w:rPr>
          <w:color w:val="17365D"/>
        </w:rPr>
        <w:t>、</w:t>
      </w:r>
      <w:r w:rsidR="00E32A76" w:rsidRPr="00E32A76">
        <w:rPr>
          <w:color w:val="17365D"/>
        </w:rPr>
        <w:t>研訂實施食農教育措施之發展方向</w:t>
      </w:r>
      <w:r>
        <w:rPr>
          <w:color w:val="17365D"/>
        </w:rPr>
        <w:t>。</w:t>
      </w:r>
    </w:p>
    <w:p w14:paraId="0B0A32A6" w14:textId="6F6A7493" w:rsidR="00D914A6" w:rsidRDefault="00D914A6" w:rsidP="003014B8">
      <w:pPr>
        <w:ind w:left="142"/>
        <w:jc w:val="both"/>
        <w:rPr>
          <w:color w:val="17365D"/>
        </w:rPr>
      </w:pPr>
      <w:r>
        <w:rPr>
          <w:color w:val="17365D"/>
        </w:rPr>
        <w:t xml:space="preserve">　　</w:t>
      </w:r>
      <w:r w:rsidRPr="00E32A76">
        <w:rPr>
          <w:color w:val="17365D"/>
        </w:rPr>
        <w:t>五</w:t>
      </w:r>
      <w:r>
        <w:rPr>
          <w:color w:val="17365D"/>
        </w:rPr>
        <w:t>、</w:t>
      </w:r>
      <w:r w:rsidR="00E32A76" w:rsidRPr="00E32A76">
        <w:rPr>
          <w:color w:val="17365D"/>
        </w:rPr>
        <w:t>研訂公民參與之具體方向及措施</w:t>
      </w:r>
      <w:r>
        <w:rPr>
          <w:color w:val="17365D"/>
        </w:rPr>
        <w:t>。</w:t>
      </w:r>
    </w:p>
    <w:p w14:paraId="6AB4151D" w14:textId="70E31186" w:rsidR="00D914A6" w:rsidRDefault="00D914A6" w:rsidP="003014B8">
      <w:pPr>
        <w:ind w:left="142"/>
        <w:jc w:val="both"/>
        <w:rPr>
          <w:color w:val="17365D"/>
        </w:rPr>
      </w:pPr>
      <w:r>
        <w:rPr>
          <w:color w:val="17365D"/>
        </w:rPr>
        <w:t xml:space="preserve">　　</w:t>
      </w:r>
      <w:r w:rsidRPr="00E32A76">
        <w:rPr>
          <w:color w:val="17365D"/>
        </w:rPr>
        <w:t>六</w:t>
      </w:r>
      <w:r>
        <w:rPr>
          <w:color w:val="17365D"/>
        </w:rPr>
        <w:t>、</w:t>
      </w:r>
      <w:r w:rsidR="00E32A76" w:rsidRPr="00E32A76">
        <w:rPr>
          <w:color w:val="17365D"/>
        </w:rPr>
        <w:t>提供食農教育課程、教材、活動之規劃、研發等事項之意見</w:t>
      </w:r>
      <w:r>
        <w:rPr>
          <w:color w:val="17365D"/>
        </w:rPr>
        <w:t>。</w:t>
      </w:r>
    </w:p>
    <w:p w14:paraId="5888D53A" w14:textId="51FFD3CC" w:rsidR="00D914A6" w:rsidRDefault="00D914A6" w:rsidP="003014B8">
      <w:pPr>
        <w:ind w:left="142"/>
        <w:jc w:val="both"/>
        <w:rPr>
          <w:color w:val="17365D"/>
        </w:rPr>
      </w:pPr>
      <w:r>
        <w:rPr>
          <w:color w:val="17365D"/>
        </w:rPr>
        <w:t xml:space="preserve">　　</w:t>
      </w:r>
      <w:r w:rsidRPr="00E32A76">
        <w:rPr>
          <w:color w:val="17365D"/>
        </w:rPr>
        <w:t>七</w:t>
      </w:r>
      <w:r>
        <w:rPr>
          <w:color w:val="17365D"/>
        </w:rPr>
        <w:t>、</w:t>
      </w:r>
      <w:r w:rsidR="00E32A76" w:rsidRPr="00E32A76">
        <w:rPr>
          <w:color w:val="17365D"/>
        </w:rPr>
        <w:t>其他有關推展食農教育之諮詢事項</w:t>
      </w:r>
      <w:r>
        <w:rPr>
          <w:color w:val="17365D"/>
        </w:rPr>
        <w:t>。</w:t>
      </w:r>
    </w:p>
    <w:p w14:paraId="0134F7CE" w14:textId="0FB88FEF"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2</w:t>
      </w:r>
      <w:r w:rsidRPr="00D914A6">
        <w:rPr>
          <w:color w:val="404040" w:themeColor="text1" w:themeTint="BF"/>
          <w:sz w:val="18"/>
        </w:rPr>
        <w:t>﹞</w:t>
      </w:r>
      <w:r w:rsidR="00E32A76" w:rsidRPr="00E32A76">
        <w:rPr>
          <w:color w:val="17365D"/>
        </w:rPr>
        <w:t>前項推動會之專家、學者及團體代表應包含食品、營養、農業、教育、環境、動物福利、文化及觀光領域，其人數不得少於總人數二分之一。任一性別委員人數不得少於委員總人數三分之一。</w:t>
      </w:r>
    </w:p>
    <w:p w14:paraId="53A245B1" w14:textId="77777777" w:rsidR="00D914A6" w:rsidRDefault="00E32A76" w:rsidP="003014B8">
      <w:pPr>
        <w:pStyle w:val="2"/>
        <w:jc w:val="both"/>
      </w:pPr>
      <w:bookmarkStart w:id="9" w:name="a9"/>
      <w:bookmarkEnd w:id="9"/>
      <w:r w:rsidRPr="00E32A76">
        <w:t>第</w:t>
      </w:r>
      <w:r w:rsidRPr="00E32A76">
        <w:t>9</w:t>
      </w:r>
      <w:r w:rsidR="00D914A6">
        <w:t>條</w:t>
      </w:r>
    </w:p>
    <w:p w14:paraId="4614188C" w14:textId="786CE66B"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主管機關與目的事業主管機關應配合國民飲食生活多樣化需求，推動友善農業及食品產業，致力於全體國民取得價格穩定、安全、營養且足夠之糧食。</w:t>
      </w:r>
    </w:p>
    <w:p w14:paraId="26210B00" w14:textId="77777777" w:rsidR="00D914A6" w:rsidRDefault="00E32A76" w:rsidP="003014B8">
      <w:pPr>
        <w:pStyle w:val="2"/>
        <w:jc w:val="both"/>
      </w:pPr>
      <w:bookmarkStart w:id="10" w:name="a10"/>
      <w:bookmarkEnd w:id="10"/>
      <w:r w:rsidRPr="00E32A76">
        <w:t>第</w:t>
      </w:r>
      <w:r w:rsidRPr="00E32A76">
        <w:t>10</w:t>
      </w:r>
      <w:r w:rsidR="00D914A6">
        <w:t>條</w:t>
      </w:r>
    </w:p>
    <w:p w14:paraId="40DB5004" w14:textId="51CA7F71"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中央主管機關與中央目的事業主管機關應依中央衛生及社會福利主管機關所定依國民各年齡層與不同宗教、區域、族群、文化飲食習慣之營養及飲食建議攝取基準，推廣食農教育。</w:t>
      </w:r>
    </w:p>
    <w:p w14:paraId="02CCB3D8" w14:textId="77777777" w:rsidR="00D914A6" w:rsidRDefault="00E32A76" w:rsidP="003014B8">
      <w:pPr>
        <w:pStyle w:val="2"/>
        <w:jc w:val="both"/>
      </w:pPr>
      <w:bookmarkStart w:id="11" w:name="a11"/>
      <w:bookmarkEnd w:id="11"/>
      <w:r w:rsidRPr="00E32A76">
        <w:t>第</w:t>
      </w:r>
      <w:r w:rsidRPr="00E32A76">
        <w:t>11</w:t>
      </w:r>
      <w:r w:rsidR="00D914A6">
        <w:t>條</w:t>
      </w:r>
    </w:p>
    <w:p w14:paraId="750F3D40" w14:textId="59857A98"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政府機關（構）、公營事業機構、行政法人、學校、幼兒園及政府捐助之財團法人應優先採用在地生產之農產品或以其為主要原料之食品。</w:t>
      </w:r>
    </w:p>
    <w:p w14:paraId="7B8DBEAF" w14:textId="77777777" w:rsidR="00D914A6" w:rsidRDefault="00E32A76" w:rsidP="003014B8">
      <w:pPr>
        <w:pStyle w:val="2"/>
        <w:jc w:val="both"/>
      </w:pPr>
      <w:bookmarkStart w:id="12" w:name="a12"/>
      <w:bookmarkEnd w:id="12"/>
      <w:r w:rsidRPr="00E32A76">
        <w:t>第</w:t>
      </w:r>
      <w:r w:rsidRPr="00E32A76">
        <w:t>12</w:t>
      </w:r>
      <w:r w:rsidR="00D914A6">
        <w:t>條</w:t>
      </w:r>
    </w:p>
    <w:p w14:paraId="5873B23C" w14:textId="1D21287A"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主管機關及目的事業主管機關應輔導相關機關（構）、法人、團體或自然人辦理下列事項：</w:t>
      </w:r>
    </w:p>
    <w:p w14:paraId="1F3E589D" w14:textId="77777777" w:rsidR="00D914A6" w:rsidRDefault="00E32A76" w:rsidP="003014B8">
      <w:pPr>
        <w:ind w:left="142"/>
        <w:jc w:val="both"/>
        <w:rPr>
          <w:color w:val="17365D"/>
        </w:rPr>
      </w:pPr>
      <w:r w:rsidRPr="00E32A76">
        <w:rPr>
          <w:color w:val="17365D"/>
        </w:rPr>
        <w:t xml:space="preserve">　　一、研發、製造、銷售以在地生產之農產品為主要原料之食品</w:t>
      </w:r>
      <w:r w:rsidR="00D914A6">
        <w:rPr>
          <w:color w:val="17365D"/>
        </w:rPr>
        <w:t>。</w:t>
      </w:r>
    </w:p>
    <w:p w14:paraId="6D8057AE" w14:textId="3E715F77" w:rsidR="00D914A6" w:rsidRDefault="00D914A6" w:rsidP="003014B8">
      <w:pPr>
        <w:ind w:left="142"/>
        <w:jc w:val="both"/>
        <w:rPr>
          <w:color w:val="17365D"/>
        </w:rPr>
      </w:pPr>
      <w:r>
        <w:rPr>
          <w:color w:val="17365D"/>
        </w:rPr>
        <w:t xml:space="preserve">　　</w:t>
      </w:r>
      <w:r w:rsidRPr="00E32A76">
        <w:rPr>
          <w:color w:val="17365D"/>
        </w:rPr>
        <w:t>二</w:t>
      </w:r>
      <w:r>
        <w:rPr>
          <w:color w:val="17365D"/>
        </w:rPr>
        <w:t>、</w:t>
      </w:r>
      <w:r w:rsidR="00E32A76" w:rsidRPr="00E32A76">
        <w:rPr>
          <w:color w:val="17365D"/>
        </w:rPr>
        <w:t>鼓勵標示原產地至直轄市、縣（市）或鄉（鎮、市）名稱</w:t>
      </w:r>
      <w:r>
        <w:rPr>
          <w:color w:val="17365D"/>
        </w:rPr>
        <w:t>。</w:t>
      </w:r>
    </w:p>
    <w:p w14:paraId="121299D0" w14:textId="741F5DAE" w:rsidR="00D914A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實踐在地農產品消費、減少食物浪費、食材減量及減少剩食</w:t>
      </w:r>
      <w:r>
        <w:rPr>
          <w:color w:val="17365D"/>
        </w:rPr>
        <w:t>。</w:t>
      </w:r>
    </w:p>
    <w:p w14:paraId="778961A6" w14:textId="40337B4D"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2</w:t>
      </w:r>
      <w:r w:rsidRPr="00D914A6">
        <w:rPr>
          <w:color w:val="404040" w:themeColor="text1" w:themeTint="BF"/>
          <w:sz w:val="18"/>
        </w:rPr>
        <w:t>﹞</w:t>
      </w:r>
      <w:r w:rsidR="00E32A76" w:rsidRPr="00E32A76">
        <w:rPr>
          <w:color w:val="17365D"/>
        </w:rPr>
        <w:t>前項第三款輔導對象以食品業者及餐飲業者為優先。</w:t>
      </w:r>
    </w:p>
    <w:p w14:paraId="48B0A8C4" w14:textId="77777777" w:rsidR="00D914A6" w:rsidRDefault="00E32A76" w:rsidP="003014B8">
      <w:pPr>
        <w:pStyle w:val="2"/>
        <w:jc w:val="both"/>
      </w:pPr>
      <w:bookmarkStart w:id="13" w:name="a13"/>
      <w:bookmarkEnd w:id="13"/>
      <w:r w:rsidRPr="00E32A76">
        <w:t>第</w:t>
      </w:r>
      <w:r w:rsidRPr="00E32A76">
        <w:t>13</w:t>
      </w:r>
      <w:r w:rsidR="00D914A6">
        <w:t>條</w:t>
      </w:r>
    </w:p>
    <w:p w14:paraId="1D50BC06" w14:textId="3D9BEDC6"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主管機關與目的事業主管機關應推行下列事項，並鼓勵相關機關（構）、法人及團體共同推行：</w:t>
      </w:r>
    </w:p>
    <w:p w14:paraId="0C3C35CC" w14:textId="77777777" w:rsidR="00D914A6" w:rsidRDefault="00E32A76" w:rsidP="003014B8">
      <w:pPr>
        <w:ind w:left="142"/>
        <w:jc w:val="both"/>
        <w:rPr>
          <w:color w:val="17365D"/>
        </w:rPr>
      </w:pPr>
      <w:r w:rsidRPr="00E32A76">
        <w:rPr>
          <w:color w:val="17365D"/>
        </w:rPr>
        <w:t xml:space="preserve">　　一、透過在地食材供應團體膳食，同時推動食農教育</w:t>
      </w:r>
      <w:r w:rsidR="00D914A6">
        <w:rPr>
          <w:color w:val="17365D"/>
        </w:rPr>
        <w:t>。</w:t>
      </w:r>
    </w:p>
    <w:p w14:paraId="1AA8986F" w14:textId="04ED1784" w:rsidR="00D914A6" w:rsidRDefault="00D914A6" w:rsidP="003014B8">
      <w:pPr>
        <w:ind w:left="142"/>
        <w:jc w:val="both"/>
        <w:rPr>
          <w:color w:val="17365D"/>
        </w:rPr>
      </w:pPr>
      <w:r>
        <w:rPr>
          <w:color w:val="17365D"/>
        </w:rPr>
        <w:t xml:space="preserve">　　</w:t>
      </w:r>
      <w:r w:rsidRPr="00E32A76">
        <w:rPr>
          <w:color w:val="17365D"/>
        </w:rPr>
        <w:t>二</w:t>
      </w:r>
      <w:r>
        <w:rPr>
          <w:color w:val="17365D"/>
        </w:rPr>
        <w:t>、</w:t>
      </w:r>
      <w:r w:rsidR="00E32A76" w:rsidRPr="00E32A76">
        <w:rPr>
          <w:color w:val="17365D"/>
        </w:rPr>
        <w:t>提供相關營養資訊及健康飲食行為之學習機會</w:t>
      </w:r>
      <w:r>
        <w:rPr>
          <w:color w:val="17365D"/>
        </w:rPr>
        <w:t>。</w:t>
      </w:r>
    </w:p>
    <w:p w14:paraId="7BF53351" w14:textId="38D73A8F" w:rsidR="00D914A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提供農業生產及國產農產品相關消費資訊</w:t>
      </w:r>
      <w:r>
        <w:rPr>
          <w:color w:val="17365D"/>
        </w:rPr>
        <w:t>。</w:t>
      </w:r>
    </w:p>
    <w:p w14:paraId="063CA3E8" w14:textId="61B4941B" w:rsidR="00D914A6" w:rsidRDefault="00D914A6" w:rsidP="003014B8">
      <w:pPr>
        <w:ind w:left="142"/>
        <w:jc w:val="both"/>
        <w:rPr>
          <w:color w:val="17365D"/>
        </w:rPr>
      </w:pPr>
      <w:r>
        <w:rPr>
          <w:color w:val="17365D"/>
        </w:rPr>
        <w:t xml:space="preserve">　　</w:t>
      </w:r>
      <w:r w:rsidRPr="00E32A76">
        <w:rPr>
          <w:color w:val="17365D"/>
        </w:rPr>
        <w:t>四</w:t>
      </w:r>
      <w:r>
        <w:rPr>
          <w:color w:val="17365D"/>
        </w:rPr>
        <w:t>、</w:t>
      </w:r>
      <w:r w:rsidR="00E32A76" w:rsidRPr="00E32A76">
        <w:rPr>
          <w:color w:val="17365D"/>
        </w:rPr>
        <w:t>依地區農業特色，辦理食農教育課程及體驗活動</w:t>
      </w:r>
      <w:r>
        <w:rPr>
          <w:color w:val="17365D"/>
        </w:rPr>
        <w:t>。</w:t>
      </w:r>
    </w:p>
    <w:p w14:paraId="55D8D0EC" w14:textId="3111A5EE" w:rsidR="00D914A6" w:rsidRDefault="00D914A6" w:rsidP="003014B8">
      <w:pPr>
        <w:ind w:left="142"/>
        <w:jc w:val="both"/>
        <w:rPr>
          <w:color w:val="17365D"/>
        </w:rPr>
      </w:pPr>
      <w:r>
        <w:rPr>
          <w:color w:val="17365D"/>
        </w:rPr>
        <w:t xml:space="preserve">　　</w:t>
      </w:r>
      <w:r w:rsidRPr="00E32A76">
        <w:rPr>
          <w:color w:val="17365D"/>
        </w:rPr>
        <w:t>五</w:t>
      </w:r>
      <w:r>
        <w:rPr>
          <w:color w:val="17365D"/>
        </w:rPr>
        <w:t>、</w:t>
      </w:r>
      <w:r w:rsidR="00E32A76" w:rsidRPr="00E32A76">
        <w:rPr>
          <w:color w:val="17365D"/>
        </w:rPr>
        <w:t>辦理所屬人員食農教育訓練</w:t>
      </w:r>
      <w:r>
        <w:rPr>
          <w:color w:val="17365D"/>
        </w:rPr>
        <w:t>。</w:t>
      </w:r>
    </w:p>
    <w:p w14:paraId="64263BE9" w14:textId="573D297C" w:rsidR="00D914A6" w:rsidRDefault="00D914A6" w:rsidP="003014B8">
      <w:pPr>
        <w:ind w:left="142"/>
        <w:jc w:val="both"/>
        <w:rPr>
          <w:color w:val="17365D"/>
        </w:rPr>
      </w:pPr>
      <w:r>
        <w:rPr>
          <w:color w:val="17365D"/>
        </w:rPr>
        <w:t xml:space="preserve">　　</w:t>
      </w:r>
      <w:r w:rsidRPr="00E32A76">
        <w:rPr>
          <w:color w:val="17365D"/>
        </w:rPr>
        <w:t>六</w:t>
      </w:r>
      <w:r>
        <w:rPr>
          <w:color w:val="17365D"/>
        </w:rPr>
        <w:t>、</w:t>
      </w:r>
      <w:r w:rsidR="00E32A76" w:rsidRPr="00E32A76">
        <w:rPr>
          <w:color w:val="17365D"/>
        </w:rPr>
        <w:t>製作食農教育宣導資料</w:t>
      </w:r>
      <w:r>
        <w:rPr>
          <w:color w:val="17365D"/>
        </w:rPr>
        <w:t>。</w:t>
      </w:r>
    </w:p>
    <w:p w14:paraId="3AA31852" w14:textId="1557C6CA" w:rsidR="00E32A76" w:rsidRPr="00E32A76" w:rsidRDefault="00D914A6" w:rsidP="003014B8">
      <w:pPr>
        <w:ind w:left="142"/>
        <w:jc w:val="both"/>
        <w:rPr>
          <w:color w:val="17365D"/>
        </w:rPr>
      </w:pPr>
      <w:r>
        <w:rPr>
          <w:color w:val="17365D"/>
        </w:rPr>
        <w:t xml:space="preserve">　　</w:t>
      </w:r>
      <w:r w:rsidRPr="00E32A76">
        <w:rPr>
          <w:color w:val="17365D"/>
        </w:rPr>
        <w:t>七</w:t>
      </w:r>
      <w:r>
        <w:rPr>
          <w:color w:val="17365D"/>
        </w:rPr>
        <w:t>、</w:t>
      </w:r>
      <w:r w:rsidR="00E32A76" w:rsidRPr="00E32A76">
        <w:rPr>
          <w:color w:val="17365D"/>
        </w:rPr>
        <w:t>其他促進食農教育推廣工作。</w:t>
      </w:r>
    </w:p>
    <w:p w14:paraId="24CB3FE2" w14:textId="77777777" w:rsidR="00D914A6" w:rsidRDefault="00E32A76" w:rsidP="003014B8">
      <w:pPr>
        <w:pStyle w:val="2"/>
        <w:jc w:val="both"/>
      </w:pPr>
      <w:bookmarkStart w:id="14" w:name="a14"/>
      <w:bookmarkEnd w:id="14"/>
      <w:r w:rsidRPr="00E32A76">
        <w:t>第</w:t>
      </w:r>
      <w:r w:rsidRPr="00E32A76">
        <w:t>14</w:t>
      </w:r>
      <w:r w:rsidR="00D914A6">
        <w:t>條</w:t>
      </w:r>
    </w:p>
    <w:p w14:paraId="7BF9D80A" w14:textId="19C0BD3E"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主管機關與目的事業主管機關應協助社區推行下列事項：</w:t>
      </w:r>
    </w:p>
    <w:p w14:paraId="25A1F3C1" w14:textId="77777777" w:rsidR="00D914A6" w:rsidRDefault="00E32A76" w:rsidP="003014B8">
      <w:pPr>
        <w:ind w:left="142"/>
        <w:jc w:val="both"/>
        <w:rPr>
          <w:color w:val="17365D"/>
        </w:rPr>
      </w:pPr>
      <w:r w:rsidRPr="00E32A76">
        <w:rPr>
          <w:color w:val="17365D"/>
        </w:rPr>
        <w:t xml:space="preserve">　　一、設置在地農產品推廣據點</w:t>
      </w:r>
      <w:r w:rsidR="00D914A6">
        <w:rPr>
          <w:color w:val="17365D"/>
        </w:rPr>
        <w:t>。</w:t>
      </w:r>
    </w:p>
    <w:p w14:paraId="3251F3C3" w14:textId="4A8A4BD0" w:rsidR="00D914A6" w:rsidRDefault="00D914A6" w:rsidP="003014B8">
      <w:pPr>
        <w:ind w:left="142"/>
        <w:jc w:val="both"/>
        <w:rPr>
          <w:color w:val="17365D"/>
        </w:rPr>
      </w:pPr>
      <w:r>
        <w:rPr>
          <w:color w:val="17365D"/>
        </w:rPr>
        <w:lastRenderedPageBreak/>
        <w:t xml:space="preserve">　　</w:t>
      </w:r>
      <w:r w:rsidRPr="00E32A76">
        <w:rPr>
          <w:color w:val="17365D"/>
        </w:rPr>
        <w:t>二</w:t>
      </w:r>
      <w:r>
        <w:rPr>
          <w:color w:val="17365D"/>
        </w:rPr>
        <w:t>、</w:t>
      </w:r>
      <w:r w:rsidR="00E32A76" w:rsidRPr="00E32A76">
        <w:rPr>
          <w:color w:val="17365D"/>
        </w:rPr>
        <w:t>依地區農業特色、景觀資源、農漁村發展特色、生態及文化資產，辦理食農教育課程及體驗活動</w:t>
      </w:r>
      <w:r>
        <w:rPr>
          <w:color w:val="17365D"/>
        </w:rPr>
        <w:t>。</w:t>
      </w:r>
    </w:p>
    <w:p w14:paraId="08360D10" w14:textId="44140A32" w:rsidR="00E32A76" w:rsidRPr="00E32A7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其他社區營造等促進食農教育相關工作。</w:t>
      </w:r>
    </w:p>
    <w:p w14:paraId="7C7557E7" w14:textId="77777777" w:rsidR="00D914A6" w:rsidRDefault="00E32A76" w:rsidP="003014B8">
      <w:pPr>
        <w:pStyle w:val="2"/>
        <w:jc w:val="both"/>
      </w:pPr>
      <w:bookmarkStart w:id="15" w:name="a15"/>
      <w:bookmarkEnd w:id="15"/>
      <w:r w:rsidRPr="00E32A76">
        <w:t>第</w:t>
      </w:r>
      <w:r w:rsidRPr="00E32A76">
        <w:t>15</w:t>
      </w:r>
      <w:r w:rsidR="00D914A6">
        <w:t>條</w:t>
      </w:r>
    </w:p>
    <w:p w14:paraId="44CD1E89" w14:textId="3C8A3D73"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主管機關與目的事業主管機關應協助各級學校及幼兒園推行下列事項：</w:t>
      </w:r>
    </w:p>
    <w:p w14:paraId="19938BFF" w14:textId="77777777" w:rsidR="00D914A6" w:rsidRDefault="00E32A76" w:rsidP="003014B8">
      <w:pPr>
        <w:ind w:left="142"/>
        <w:jc w:val="both"/>
        <w:rPr>
          <w:color w:val="17365D"/>
        </w:rPr>
      </w:pPr>
      <w:r w:rsidRPr="00E32A76">
        <w:rPr>
          <w:color w:val="17365D"/>
        </w:rPr>
        <w:t xml:space="preserve">　　一、辦理所屬人員食農教育訓練</w:t>
      </w:r>
      <w:r w:rsidR="00D914A6">
        <w:rPr>
          <w:color w:val="17365D"/>
        </w:rPr>
        <w:t>。</w:t>
      </w:r>
    </w:p>
    <w:p w14:paraId="06B81E2F" w14:textId="3AA47B83" w:rsidR="00D914A6" w:rsidRDefault="00D914A6" w:rsidP="003014B8">
      <w:pPr>
        <w:ind w:left="142"/>
        <w:jc w:val="both"/>
        <w:rPr>
          <w:color w:val="17365D"/>
        </w:rPr>
      </w:pPr>
      <w:r>
        <w:rPr>
          <w:color w:val="17365D"/>
        </w:rPr>
        <w:t xml:space="preserve">　　</w:t>
      </w:r>
      <w:r w:rsidRPr="00E32A76">
        <w:rPr>
          <w:color w:val="17365D"/>
        </w:rPr>
        <w:t>二</w:t>
      </w:r>
      <w:r>
        <w:rPr>
          <w:color w:val="17365D"/>
        </w:rPr>
        <w:t>、</w:t>
      </w:r>
      <w:r w:rsidR="00E32A76" w:rsidRPr="00E32A76">
        <w:rPr>
          <w:color w:val="17365D"/>
        </w:rPr>
        <w:t>鼓勵學校、幼兒園透過課程、膳食供應及相關宣導，進行食農教育相關之學習體驗及實作活動，落實健康飲食生活實踐，並培養學生飲食相關知能，提升對於飲食及農業之理解，強化對在地農業之支持</w:t>
      </w:r>
      <w:r>
        <w:rPr>
          <w:color w:val="17365D"/>
        </w:rPr>
        <w:t>。</w:t>
      </w:r>
    </w:p>
    <w:p w14:paraId="39957B17" w14:textId="22EE171A" w:rsidR="00E32A76" w:rsidRPr="00E32A76" w:rsidRDefault="00D914A6" w:rsidP="003014B8">
      <w:pPr>
        <w:ind w:left="142"/>
        <w:jc w:val="both"/>
        <w:rPr>
          <w:color w:val="17365D"/>
        </w:rPr>
      </w:pPr>
      <w:r>
        <w:rPr>
          <w:color w:val="17365D"/>
        </w:rPr>
        <w:t xml:space="preserve">　　</w:t>
      </w:r>
      <w:r w:rsidRPr="00E32A76">
        <w:rPr>
          <w:color w:val="17365D"/>
        </w:rPr>
        <w:t>三</w:t>
      </w:r>
      <w:r>
        <w:rPr>
          <w:color w:val="17365D"/>
        </w:rPr>
        <w:t>、</w:t>
      </w:r>
      <w:r w:rsidR="00E32A76" w:rsidRPr="00E32A76">
        <w:rPr>
          <w:color w:val="17365D"/>
        </w:rPr>
        <w:t>優先參與主管機關與目的事業主管機關所輔導之相關機關（構）、法人、團體辦理之食農教育課程及體驗活動。</w:t>
      </w:r>
    </w:p>
    <w:p w14:paraId="6A9B062D" w14:textId="77777777" w:rsidR="00D914A6" w:rsidRDefault="00E32A76" w:rsidP="003014B8">
      <w:pPr>
        <w:pStyle w:val="2"/>
        <w:jc w:val="both"/>
      </w:pPr>
      <w:bookmarkStart w:id="16" w:name="a16"/>
      <w:bookmarkEnd w:id="16"/>
      <w:r w:rsidRPr="00E32A76">
        <w:t>第</w:t>
      </w:r>
      <w:r w:rsidRPr="00E32A76">
        <w:t>16</w:t>
      </w:r>
      <w:r w:rsidR="00D914A6">
        <w:t>條</w:t>
      </w:r>
    </w:p>
    <w:p w14:paraId="32E779AA" w14:textId="04A69D63"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中央主管機關應設置食農教育資訊整合平臺，強化消費通路資訊，推廣在地農產品及標章，整合食農教育教材、教案、專業人員、師資及志工人才庫、宣導資料等相關資訊，供公開查詢。</w:t>
      </w:r>
    </w:p>
    <w:p w14:paraId="3C69D502" w14:textId="77777777" w:rsidR="00D914A6" w:rsidRDefault="00E32A76" w:rsidP="003014B8">
      <w:pPr>
        <w:pStyle w:val="2"/>
        <w:jc w:val="both"/>
      </w:pPr>
      <w:bookmarkStart w:id="17" w:name="a17"/>
      <w:bookmarkEnd w:id="17"/>
      <w:r w:rsidRPr="00E32A76">
        <w:t>第</w:t>
      </w:r>
      <w:r w:rsidRPr="00E32A76">
        <w:t>17</w:t>
      </w:r>
      <w:r w:rsidR="00D914A6">
        <w:t>條</w:t>
      </w:r>
    </w:p>
    <w:p w14:paraId="49AEBBB0" w14:textId="573CFE91"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中央主管機關應會商中央目的事業主管機關，推動食農教育之相關研究，以健全食農教育體系。</w:t>
      </w:r>
    </w:p>
    <w:p w14:paraId="21D6F5C2" w14:textId="77777777" w:rsidR="00D914A6" w:rsidRDefault="00E32A76" w:rsidP="003014B8">
      <w:pPr>
        <w:pStyle w:val="2"/>
        <w:jc w:val="both"/>
      </w:pPr>
      <w:bookmarkStart w:id="18" w:name="a18"/>
      <w:bookmarkEnd w:id="18"/>
      <w:r w:rsidRPr="00E32A76">
        <w:t>第</w:t>
      </w:r>
      <w:r w:rsidRPr="00E32A76">
        <w:t>18</w:t>
      </w:r>
      <w:r w:rsidR="00D914A6">
        <w:t>條</w:t>
      </w:r>
    </w:p>
    <w:p w14:paraId="29E6AE8E" w14:textId="2070D2DF"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主管機關及目的事業主管機關應寬列預算，推行食農教育相關事項。</w:t>
      </w:r>
    </w:p>
    <w:p w14:paraId="55906092" w14:textId="77777777" w:rsidR="00D914A6" w:rsidRDefault="00E32A76" w:rsidP="003014B8">
      <w:pPr>
        <w:pStyle w:val="2"/>
        <w:jc w:val="both"/>
      </w:pPr>
      <w:bookmarkStart w:id="19" w:name="a19"/>
      <w:bookmarkEnd w:id="19"/>
      <w:r w:rsidRPr="00E32A76">
        <w:t>第</w:t>
      </w:r>
      <w:r w:rsidRPr="00E32A76">
        <w:t>19</w:t>
      </w:r>
      <w:r w:rsidR="00D914A6">
        <w:t>條</w:t>
      </w:r>
    </w:p>
    <w:p w14:paraId="5A951633" w14:textId="44F914D3" w:rsidR="00D914A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主管機關對實施食農教育工作具有傑出貢獻之機關（構）、法人、團體或自然人，應給予適當獎勵</w:t>
      </w:r>
      <w:r>
        <w:rPr>
          <w:color w:val="17365D"/>
        </w:rPr>
        <w:t>。</w:t>
      </w:r>
    </w:p>
    <w:p w14:paraId="09073B6F" w14:textId="0E1539B7"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2</w:t>
      </w:r>
      <w:r w:rsidRPr="00D914A6">
        <w:rPr>
          <w:color w:val="404040" w:themeColor="text1" w:themeTint="BF"/>
          <w:sz w:val="18"/>
        </w:rPr>
        <w:t>﹞</w:t>
      </w:r>
      <w:r w:rsidR="00E32A76" w:rsidRPr="00E32A76">
        <w:rPr>
          <w:color w:val="17365D"/>
        </w:rPr>
        <w:t>前項獎勵之對象、條件、適用範圍、審查程序、審查基準、獎勵方式及其他相關事項之</w:t>
      </w:r>
      <w:hyperlink r:id="rId17" w:history="1">
        <w:r w:rsidR="00E32A76" w:rsidRPr="002F4F25">
          <w:rPr>
            <w:rStyle w:val="a3"/>
            <w:rFonts w:ascii="Times New Roman" w:hAnsi="Times New Roman"/>
          </w:rPr>
          <w:t>辦法</w:t>
        </w:r>
      </w:hyperlink>
      <w:r w:rsidR="00E32A76" w:rsidRPr="00E32A76">
        <w:rPr>
          <w:color w:val="17365D"/>
        </w:rPr>
        <w:t>，由主管機關定之。</w:t>
      </w:r>
    </w:p>
    <w:p w14:paraId="0C29FA0B" w14:textId="77777777" w:rsidR="00D914A6" w:rsidRDefault="00E32A76" w:rsidP="003014B8">
      <w:pPr>
        <w:pStyle w:val="2"/>
        <w:jc w:val="both"/>
      </w:pPr>
      <w:bookmarkStart w:id="20" w:name="a20"/>
      <w:bookmarkEnd w:id="20"/>
      <w:r w:rsidRPr="00E32A76">
        <w:t>第</w:t>
      </w:r>
      <w:r w:rsidRPr="00E32A76">
        <w:t>20</w:t>
      </w:r>
      <w:r w:rsidR="00D914A6">
        <w:t>條</w:t>
      </w:r>
    </w:p>
    <w:p w14:paraId="13FC3157" w14:textId="5BD9028A" w:rsidR="00E32A76" w:rsidRPr="00E32A76" w:rsidRDefault="00D914A6" w:rsidP="003014B8">
      <w:pPr>
        <w:ind w:left="142"/>
        <w:jc w:val="both"/>
        <w:rPr>
          <w:color w:val="17365D"/>
        </w:rPr>
      </w:pPr>
      <w:r w:rsidRPr="00D914A6">
        <w:rPr>
          <w:color w:val="404040" w:themeColor="text1" w:themeTint="BF"/>
          <w:sz w:val="18"/>
        </w:rPr>
        <w:t>﹝</w:t>
      </w:r>
      <w:r w:rsidRPr="00D914A6">
        <w:rPr>
          <w:color w:val="404040" w:themeColor="text1" w:themeTint="BF"/>
          <w:sz w:val="18"/>
        </w:rPr>
        <w:t>1</w:t>
      </w:r>
      <w:r w:rsidRPr="00D914A6">
        <w:rPr>
          <w:color w:val="404040" w:themeColor="text1" w:themeTint="BF"/>
          <w:sz w:val="18"/>
        </w:rPr>
        <w:t>﹞</w:t>
      </w:r>
      <w:r w:rsidR="00E32A76" w:rsidRPr="00E32A76">
        <w:rPr>
          <w:color w:val="17365D"/>
        </w:rPr>
        <w:t>本法自公布日施行。</w:t>
      </w:r>
    </w:p>
    <w:p w14:paraId="47B18563" w14:textId="77777777" w:rsidR="008C1688" w:rsidRPr="008C1688" w:rsidRDefault="008C1688" w:rsidP="003014B8">
      <w:pPr>
        <w:ind w:left="142"/>
        <w:jc w:val="both"/>
        <w:rPr>
          <w:rFonts w:ascii="Arial Unicode MS" w:hAnsi="Arial Unicode MS"/>
          <w:color w:val="17365D"/>
        </w:rPr>
      </w:pPr>
    </w:p>
    <w:p w14:paraId="00571184" w14:textId="77777777" w:rsidR="00431EEC" w:rsidRPr="00D244FB" w:rsidRDefault="00431EEC" w:rsidP="003014B8">
      <w:pPr>
        <w:ind w:left="142"/>
        <w:jc w:val="both"/>
        <w:rPr>
          <w:rFonts w:ascii="Arial Unicode MS" w:hAnsi="Arial Unicode MS"/>
          <w:color w:val="17365D"/>
        </w:rPr>
      </w:pPr>
    </w:p>
    <w:p w14:paraId="2747B3AC" w14:textId="77777777" w:rsidR="00A51BA6" w:rsidRPr="00C1655B" w:rsidRDefault="00A51BA6" w:rsidP="003014B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4C4823D" w14:textId="4A76C0BD" w:rsidR="00431EEC" w:rsidRPr="00A51BA6" w:rsidRDefault="00A51BA6" w:rsidP="003014B8">
      <w:pPr>
        <w:ind w:leftChars="71" w:left="142"/>
        <w:jc w:val="both"/>
        <w:rPr>
          <w:rFonts w:ascii="Arial Unicode MS" w:hAnsi="Arial Unicode MS"/>
          <w:color w:val="808080"/>
          <w:sz w:val="18"/>
          <w:szCs w:val="20"/>
        </w:rPr>
      </w:pPr>
      <w:r w:rsidRPr="003D460F">
        <w:rPr>
          <w:rFonts w:hint="eastAsia"/>
          <w:color w:val="5F5F5F"/>
          <w:sz w:val="18"/>
          <w:szCs w:val="18"/>
        </w:rPr>
        <w:t>【編註】</w:t>
      </w:r>
      <w:r w:rsidR="000C3556">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6E25" w14:textId="77777777" w:rsidR="00230591" w:rsidRDefault="00230591">
      <w:r>
        <w:separator/>
      </w:r>
    </w:p>
  </w:endnote>
  <w:endnote w:type="continuationSeparator" w:id="0">
    <w:p w14:paraId="2ED62830" w14:textId="77777777" w:rsidR="00230591" w:rsidRDefault="0023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1868"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C7F0993"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2D9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7D209865" w14:textId="457BB1A7"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E32A76" w:rsidRPr="00E32A76">
      <w:rPr>
        <w:rFonts w:ascii="Arial Unicode MS" w:hAnsi="Arial Unicode MS" w:hint="eastAsia"/>
        <w:color w:val="000000"/>
        <w:sz w:val="18"/>
        <w:szCs w:val="24"/>
      </w:rPr>
      <w:t>食農教育法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5390D" w14:textId="77777777" w:rsidR="00230591" w:rsidRDefault="00230591">
      <w:r>
        <w:separator/>
      </w:r>
    </w:p>
  </w:footnote>
  <w:footnote w:type="continuationSeparator" w:id="0">
    <w:p w14:paraId="027AA792" w14:textId="77777777" w:rsidR="00230591" w:rsidRDefault="00230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2099062243">
    <w:abstractNumId w:val="0"/>
  </w:num>
  <w:num w:numId="2" w16cid:durableId="856388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318D"/>
    <w:rsid w:val="00087879"/>
    <w:rsid w:val="000A458A"/>
    <w:rsid w:val="000A7115"/>
    <w:rsid w:val="000C1DAC"/>
    <w:rsid w:val="000C3556"/>
    <w:rsid w:val="000D31F2"/>
    <w:rsid w:val="000D710E"/>
    <w:rsid w:val="000D7583"/>
    <w:rsid w:val="000E5F6B"/>
    <w:rsid w:val="00100662"/>
    <w:rsid w:val="00105954"/>
    <w:rsid w:val="0012255A"/>
    <w:rsid w:val="001415EF"/>
    <w:rsid w:val="00143B85"/>
    <w:rsid w:val="00151F81"/>
    <w:rsid w:val="001662B2"/>
    <w:rsid w:val="001668E9"/>
    <w:rsid w:val="00173A16"/>
    <w:rsid w:val="00177095"/>
    <w:rsid w:val="001857F0"/>
    <w:rsid w:val="00186205"/>
    <w:rsid w:val="001A49BA"/>
    <w:rsid w:val="001A7DEB"/>
    <w:rsid w:val="001C258B"/>
    <w:rsid w:val="001D3AC1"/>
    <w:rsid w:val="001D6830"/>
    <w:rsid w:val="001E4EAE"/>
    <w:rsid w:val="001F4C97"/>
    <w:rsid w:val="00222E53"/>
    <w:rsid w:val="002275F3"/>
    <w:rsid w:val="00230591"/>
    <w:rsid w:val="0024136E"/>
    <w:rsid w:val="00241BBE"/>
    <w:rsid w:val="00260074"/>
    <w:rsid w:val="002614EA"/>
    <w:rsid w:val="00270F32"/>
    <w:rsid w:val="002B4B9C"/>
    <w:rsid w:val="002B565A"/>
    <w:rsid w:val="002E3B23"/>
    <w:rsid w:val="002E6DCE"/>
    <w:rsid w:val="002F4F25"/>
    <w:rsid w:val="002F5997"/>
    <w:rsid w:val="003014B8"/>
    <w:rsid w:val="0031479F"/>
    <w:rsid w:val="00316FDB"/>
    <w:rsid w:val="003222AE"/>
    <w:rsid w:val="00322A95"/>
    <w:rsid w:val="00347E94"/>
    <w:rsid w:val="003555EC"/>
    <w:rsid w:val="00356810"/>
    <w:rsid w:val="00360C9D"/>
    <w:rsid w:val="003649DE"/>
    <w:rsid w:val="003701DD"/>
    <w:rsid w:val="00373827"/>
    <w:rsid w:val="00374422"/>
    <w:rsid w:val="00381C40"/>
    <w:rsid w:val="003B13F3"/>
    <w:rsid w:val="003D35D6"/>
    <w:rsid w:val="003E3D75"/>
    <w:rsid w:val="003F0756"/>
    <w:rsid w:val="003F75CC"/>
    <w:rsid w:val="00411C6D"/>
    <w:rsid w:val="00426830"/>
    <w:rsid w:val="00431EEC"/>
    <w:rsid w:val="004339F1"/>
    <w:rsid w:val="004457D2"/>
    <w:rsid w:val="0045269A"/>
    <w:rsid w:val="00452F61"/>
    <w:rsid w:val="00494A3E"/>
    <w:rsid w:val="0049542C"/>
    <w:rsid w:val="004A0CC8"/>
    <w:rsid w:val="004B52A7"/>
    <w:rsid w:val="004B666F"/>
    <w:rsid w:val="004D1AE3"/>
    <w:rsid w:val="004D590E"/>
    <w:rsid w:val="004E21D2"/>
    <w:rsid w:val="004F73FB"/>
    <w:rsid w:val="005004A3"/>
    <w:rsid w:val="005075C1"/>
    <w:rsid w:val="005360FE"/>
    <w:rsid w:val="00561FD3"/>
    <w:rsid w:val="00565C88"/>
    <w:rsid w:val="00567A84"/>
    <w:rsid w:val="00570166"/>
    <w:rsid w:val="005805AB"/>
    <w:rsid w:val="00587BCC"/>
    <w:rsid w:val="00590F47"/>
    <w:rsid w:val="005A3BDD"/>
    <w:rsid w:val="005C7F6E"/>
    <w:rsid w:val="005C7F8A"/>
    <w:rsid w:val="005F4657"/>
    <w:rsid w:val="006039AC"/>
    <w:rsid w:val="006250A0"/>
    <w:rsid w:val="006254EE"/>
    <w:rsid w:val="0063000B"/>
    <w:rsid w:val="00632BB0"/>
    <w:rsid w:val="006631DB"/>
    <w:rsid w:val="00664DFB"/>
    <w:rsid w:val="00683312"/>
    <w:rsid w:val="006874B7"/>
    <w:rsid w:val="006A2BCA"/>
    <w:rsid w:val="006A4941"/>
    <w:rsid w:val="006B2AE3"/>
    <w:rsid w:val="006B3D46"/>
    <w:rsid w:val="006D0623"/>
    <w:rsid w:val="006D72FF"/>
    <w:rsid w:val="006E01BF"/>
    <w:rsid w:val="006E3BC0"/>
    <w:rsid w:val="006E705F"/>
    <w:rsid w:val="006F00F5"/>
    <w:rsid w:val="00703E61"/>
    <w:rsid w:val="007043B6"/>
    <w:rsid w:val="00707A19"/>
    <w:rsid w:val="007307BD"/>
    <w:rsid w:val="00733D34"/>
    <w:rsid w:val="00755DE6"/>
    <w:rsid w:val="00763D80"/>
    <w:rsid w:val="007720A1"/>
    <w:rsid w:val="00787B46"/>
    <w:rsid w:val="007A5494"/>
    <w:rsid w:val="007B4E78"/>
    <w:rsid w:val="007B5269"/>
    <w:rsid w:val="007C5BAB"/>
    <w:rsid w:val="007D7E8D"/>
    <w:rsid w:val="007F3639"/>
    <w:rsid w:val="00827B05"/>
    <w:rsid w:val="0083757D"/>
    <w:rsid w:val="00845988"/>
    <w:rsid w:val="00847FDF"/>
    <w:rsid w:val="0089231C"/>
    <w:rsid w:val="008B03F1"/>
    <w:rsid w:val="008B5BAE"/>
    <w:rsid w:val="008C1688"/>
    <w:rsid w:val="008C274C"/>
    <w:rsid w:val="008C4620"/>
    <w:rsid w:val="008C7018"/>
    <w:rsid w:val="008D7AA9"/>
    <w:rsid w:val="008E004D"/>
    <w:rsid w:val="008E5159"/>
    <w:rsid w:val="00903DDE"/>
    <w:rsid w:val="0091603F"/>
    <w:rsid w:val="00931235"/>
    <w:rsid w:val="0095145E"/>
    <w:rsid w:val="00956013"/>
    <w:rsid w:val="009612D7"/>
    <w:rsid w:val="0096260A"/>
    <w:rsid w:val="009679D2"/>
    <w:rsid w:val="009758FD"/>
    <w:rsid w:val="0099154E"/>
    <w:rsid w:val="00991F3F"/>
    <w:rsid w:val="00995A2A"/>
    <w:rsid w:val="009D286B"/>
    <w:rsid w:val="009D54F3"/>
    <w:rsid w:val="009E0895"/>
    <w:rsid w:val="00A276FD"/>
    <w:rsid w:val="00A43518"/>
    <w:rsid w:val="00A47A95"/>
    <w:rsid w:val="00A513D8"/>
    <w:rsid w:val="00A51BA6"/>
    <w:rsid w:val="00A5787E"/>
    <w:rsid w:val="00A6011A"/>
    <w:rsid w:val="00A63811"/>
    <w:rsid w:val="00A71C27"/>
    <w:rsid w:val="00A71EEA"/>
    <w:rsid w:val="00A74392"/>
    <w:rsid w:val="00A92FDB"/>
    <w:rsid w:val="00AB3534"/>
    <w:rsid w:val="00AD52B5"/>
    <w:rsid w:val="00AF1681"/>
    <w:rsid w:val="00AF2E81"/>
    <w:rsid w:val="00AF6DDB"/>
    <w:rsid w:val="00B27F2D"/>
    <w:rsid w:val="00B51635"/>
    <w:rsid w:val="00B61B2E"/>
    <w:rsid w:val="00B61EA2"/>
    <w:rsid w:val="00B64F93"/>
    <w:rsid w:val="00B734E4"/>
    <w:rsid w:val="00BA360D"/>
    <w:rsid w:val="00BA76F9"/>
    <w:rsid w:val="00BB31DC"/>
    <w:rsid w:val="00BC2A52"/>
    <w:rsid w:val="00BC70EF"/>
    <w:rsid w:val="00BF26BB"/>
    <w:rsid w:val="00C01BC3"/>
    <w:rsid w:val="00C30DB5"/>
    <w:rsid w:val="00C357DC"/>
    <w:rsid w:val="00C358A8"/>
    <w:rsid w:val="00C42B4D"/>
    <w:rsid w:val="00C50466"/>
    <w:rsid w:val="00C601BF"/>
    <w:rsid w:val="00C812BD"/>
    <w:rsid w:val="00C83397"/>
    <w:rsid w:val="00D027CD"/>
    <w:rsid w:val="00D046B8"/>
    <w:rsid w:val="00D0599F"/>
    <w:rsid w:val="00D2412B"/>
    <w:rsid w:val="00D244FB"/>
    <w:rsid w:val="00D2753B"/>
    <w:rsid w:val="00D27DEA"/>
    <w:rsid w:val="00D36745"/>
    <w:rsid w:val="00D36C72"/>
    <w:rsid w:val="00D409E5"/>
    <w:rsid w:val="00D569F4"/>
    <w:rsid w:val="00D66E62"/>
    <w:rsid w:val="00D81359"/>
    <w:rsid w:val="00D914A6"/>
    <w:rsid w:val="00DB012F"/>
    <w:rsid w:val="00DD42DD"/>
    <w:rsid w:val="00DE0054"/>
    <w:rsid w:val="00DE2A6A"/>
    <w:rsid w:val="00E13A0E"/>
    <w:rsid w:val="00E31347"/>
    <w:rsid w:val="00E3177E"/>
    <w:rsid w:val="00E32A76"/>
    <w:rsid w:val="00E44D88"/>
    <w:rsid w:val="00E623BE"/>
    <w:rsid w:val="00E678EC"/>
    <w:rsid w:val="00E718BD"/>
    <w:rsid w:val="00E81351"/>
    <w:rsid w:val="00E94405"/>
    <w:rsid w:val="00E94B1F"/>
    <w:rsid w:val="00EB2BDE"/>
    <w:rsid w:val="00EB52F5"/>
    <w:rsid w:val="00EC1889"/>
    <w:rsid w:val="00EC1B72"/>
    <w:rsid w:val="00F126D7"/>
    <w:rsid w:val="00F2026D"/>
    <w:rsid w:val="00F26B7D"/>
    <w:rsid w:val="00F3421C"/>
    <w:rsid w:val="00F43973"/>
    <w:rsid w:val="00F57CF4"/>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77411"/>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E32A76"/>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E32A76"/>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2F4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7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law3/&#22283;&#23478;&#39135;&#36786;&#25945;&#32946;&#20625;&#20986;&#36002;&#29563;&#29518;&#29518;&#21237;&#36774;&#27861;.docx" TargetMode="External"/><Relationship Id="rId2" Type="http://schemas.openxmlformats.org/officeDocument/2006/relationships/styles" Target="styles.xml"/><Relationship Id="rId16" Type="http://schemas.openxmlformats.org/officeDocument/2006/relationships/hyperlink" Target="../law3/&#39135;&#36786;&#25945;&#32946;&#23560;&#26989;&#20154;&#21729;&#36039;&#26684;&#21450;&#22521;&#35347;&#36774;&#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5" Type="http://schemas.openxmlformats.org/officeDocument/2006/relationships/footnotes" Target="footnotes.xml"/><Relationship Id="rId15" Type="http://schemas.openxmlformats.org/officeDocument/2006/relationships/hyperlink" Target="https://www.coa.gov.tw/" TargetMode="External"/><Relationship Id="rId10" Type="http://schemas.openxmlformats.org/officeDocument/2006/relationships/hyperlink" Target="https://www.facebook.com/anita6la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39135;&#36786;&#25945;&#32946;&#27861;.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3534</Words>
  <Characters>793</Characters>
  <Application>Microsoft Office Word</Application>
  <DocSecurity>0</DocSecurity>
  <Lines>6</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食農教育法</dc:title>
  <dc:creator>S-link 電子六法-黃婉玲</dc:creator>
  <cp:lastModifiedBy>黃 S</cp:lastModifiedBy>
  <cp:revision>11</cp:revision>
  <dcterms:created xsi:type="dcterms:W3CDTF">2022-05-07T03:29:00Z</dcterms:created>
  <dcterms:modified xsi:type="dcterms:W3CDTF">2023-05-23T17:46:00Z</dcterms:modified>
</cp:coreProperties>
</file>