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3BA11" w14:textId="64AAB555" w:rsidR="00373827" w:rsidRDefault="00247B35" w:rsidP="0099154E">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14:anchorId="354DAD76" wp14:editId="3F6239C0">
            <wp:extent cx="419343" cy="419343"/>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val="0"/>
                        </a:ext>
                      </a:extLst>
                    </a:blip>
                    <a:stretch>
                      <a:fillRect/>
                    </a:stretch>
                  </pic:blipFill>
                  <pic:spPr>
                    <a:xfrm>
                      <a:off x="0" y="0"/>
                      <a:ext cx="419343" cy="419343"/>
                    </a:xfrm>
                    <a:prstGeom prst="rect">
                      <a:avLst/>
                    </a:prstGeom>
                  </pic:spPr>
                </pic:pic>
              </a:graphicData>
            </a:graphic>
          </wp:inline>
        </w:drawing>
      </w:r>
      <w:r>
        <w:rPr>
          <w:rFonts w:ascii="Arial Unicode MS" w:hAnsi="Arial Unicode MS"/>
        </w:rPr>
        <w:t xml:space="preserve"> </w:t>
      </w:r>
    </w:p>
    <w:p w14:paraId="6C2607F9" w14:textId="6ABD54FE"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373827">
          <w:rPr>
            <w:rStyle w:val="a3"/>
            <w:sz w:val="18"/>
            <w:szCs w:val="20"/>
          </w:rPr>
          <w:t>更新</w:t>
        </w:r>
      </w:hyperlink>
      <w:r>
        <w:rPr>
          <w:rFonts w:hint="eastAsia"/>
          <w:color w:val="7F7F7F"/>
          <w:sz w:val="18"/>
          <w:szCs w:val="20"/>
          <w:lang w:val="zh-TW"/>
        </w:rPr>
        <w:t>】</w:t>
      </w:r>
      <w:r w:rsidR="00247B35">
        <w:rPr>
          <w:rFonts w:ascii="Arial Unicode MS" w:hAnsi="Arial Unicode MS"/>
          <w:color w:val="7F7F7F"/>
          <w:sz w:val="18"/>
          <w:szCs w:val="20"/>
        </w:rPr>
        <w:t>2019/8/22</w:t>
      </w:r>
      <w:r>
        <w:rPr>
          <w:rFonts w:hint="eastAsia"/>
          <w:color w:val="7F7F7F"/>
          <w:sz w:val="18"/>
          <w:szCs w:val="20"/>
          <w:lang w:val="zh-TW"/>
        </w:rPr>
        <w:t>【</w:t>
      </w:r>
      <w:hyperlink r:id="rId9" w:history="1">
        <w:r w:rsidRPr="00740D6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E94405">
          <w:rPr>
            <w:rStyle w:val="a3"/>
            <w:sz w:val="18"/>
            <w:szCs w:val="20"/>
          </w:rPr>
          <w:t>黃婉玲</w:t>
        </w:r>
      </w:hyperlink>
    </w:p>
    <w:p w14:paraId="0A0CC795" w14:textId="64D5D202"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528"/>
        <w:gridCol w:w="3544"/>
      </w:tblGrid>
      <w:tr w:rsidR="00A6011A" w:rsidRPr="003555EC" w14:paraId="0E0718C7" w14:textId="77777777" w:rsidTr="006D479E">
        <w:trPr>
          <w:cantSplit/>
          <w:trHeight w:val="750"/>
          <w:tblCellSpacing w:w="0" w:type="dxa"/>
        </w:trPr>
        <w:tc>
          <w:tcPr>
            <w:tcW w:w="487" w:type="pct"/>
            <w:tcBorders>
              <w:top w:val="nil"/>
              <w:left w:val="nil"/>
              <w:bottom w:val="nil"/>
              <w:right w:val="nil"/>
            </w:tcBorders>
            <w:shd w:val="clear" w:color="auto" w:fill="CC3300"/>
            <w:vAlign w:val="center"/>
          </w:tcPr>
          <w:p w14:paraId="275156CD"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750" w:type="pct"/>
            <w:tcBorders>
              <w:top w:val="nil"/>
              <w:left w:val="nil"/>
              <w:bottom w:val="nil"/>
              <w:right w:val="nil"/>
            </w:tcBorders>
            <w:shd w:val="clear" w:color="auto" w:fill="FFFAE5"/>
            <w:vAlign w:val="center"/>
          </w:tcPr>
          <w:p w14:paraId="767BCEBC" w14:textId="77777777" w:rsidR="00A6011A" w:rsidRPr="00703E61" w:rsidRDefault="00ED0441" w:rsidP="0099154E">
            <w:pPr>
              <w:ind w:leftChars="-6" w:left="-12" w:rightChars="-6" w:right="-12"/>
              <w:jc w:val="center"/>
              <w:rPr>
                <w:rFonts w:ascii="Arial Unicode MS" w:hAnsi="Arial Unicode MS"/>
                <w:b/>
                <w:bCs/>
                <w:color w:val="000000"/>
                <w:sz w:val="28"/>
                <w:szCs w:val="28"/>
              </w:rPr>
            </w:pPr>
            <w:r w:rsidRPr="006D479E">
              <w:rPr>
                <w:rFonts w:ascii="新細明體" w:eastAsia="標楷體" w:hAnsi="新細明體" w:hint="eastAsia"/>
                <w:bCs/>
                <w:sz w:val="26"/>
                <w:szCs w:val="28"/>
                <w14:shadow w14:blurRad="50800" w14:dist="38100" w14:dir="2700000" w14:sx="100000" w14:sy="100000" w14:kx="0" w14:ky="0" w14:algn="tl">
                  <w14:srgbClr w14:val="000000">
                    <w14:alpha w14:val="60000"/>
                  </w14:srgbClr>
                </w14:shadow>
              </w:rPr>
              <w:t>財團法人原住民族語言研究發展基金會設置條例</w:t>
            </w:r>
          </w:p>
        </w:tc>
        <w:tc>
          <w:tcPr>
            <w:tcW w:w="1763" w:type="pct"/>
            <w:tcBorders>
              <w:top w:val="nil"/>
              <w:left w:val="nil"/>
              <w:bottom w:val="nil"/>
              <w:right w:val="nil"/>
            </w:tcBorders>
            <w:shd w:val="clear" w:color="auto" w:fill="FFFAE5"/>
            <w:vAlign w:val="center"/>
          </w:tcPr>
          <w:p w14:paraId="06B70174" w14:textId="77777777" w:rsidR="006D479E" w:rsidRPr="002E59EF" w:rsidRDefault="00E3177E" w:rsidP="006D479E">
            <w:pPr>
              <w:ind w:leftChars="-6" w:left="-12" w:rightChars="-72" w:right="-144"/>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6D479E" w:rsidRPr="002E59EF">
              <w:rPr>
                <w:rFonts w:ascii="Arial Unicode MS" w:hAnsi="Arial Unicode MS" w:hint="eastAsia"/>
                <w:color w:val="990000"/>
              </w:rPr>
              <w:t>民國</w:t>
            </w:r>
            <w:r w:rsidR="006D479E" w:rsidRPr="002E59EF">
              <w:rPr>
                <w:rFonts w:ascii="Arial Unicode MS" w:hAnsi="Arial Unicode MS" w:hint="eastAsia"/>
                <w:color w:val="990000"/>
              </w:rPr>
              <w:t>10</w:t>
            </w:r>
            <w:r w:rsidR="006D479E">
              <w:rPr>
                <w:rFonts w:ascii="Arial Unicode MS" w:hAnsi="Arial Unicode MS"/>
                <w:color w:val="990000"/>
              </w:rPr>
              <w:t>7</w:t>
            </w:r>
            <w:r w:rsidR="006D479E" w:rsidRPr="002E59EF">
              <w:rPr>
                <w:rFonts w:ascii="Arial Unicode MS" w:hAnsi="Arial Unicode MS"/>
                <w:color w:val="990000"/>
              </w:rPr>
              <w:t>年</w:t>
            </w:r>
            <w:r w:rsidR="006D479E">
              <w:rPr>
                <w:rFonts w:ascii="Arial Unicode MS" w:hAnsi="Arial Unicode MS" w:hint="eastAsia"/>
                <w:color w:val="990000"/>
              </w:rPr>
              <w:t>1</w:t>
            </w:r>
            <w:r w:rsidR="006D479E">
              <w:rPr>
                <w:rFonts w:ascii="Arial Unicode MS" w:hAnsi="Arial Unicode MS"/>
                <w:color w:val="990000"/>
              </w:rPr>
              <w:t>1</w:t>
            </w:r>
            <w:r w:rsidR="006D479E" w:rsidRPr="002E59EF">
              <w:rPr>
                <w:rFonts w:ascii="Arial Unicode MS" w:hAnsi="Arial Unicode MS"/>
                <w:color w:val="990000"/>
              </w:rPr>
              <w:t>月</w:t>
            </w:r>
            <w:r w:rsidR="006D479E">
              <w:rPr>
                <w:rFonts w:ascii="Arial Unicode MS" w:hAnsi="Arial Unicode MS"/>
                <w:color w:val="990000"/>
              </w:rPr>
              <w:t>20</w:t>
            </w:r>
            <w:r w:rsidR="006D479E" w:rsidRPr="002E59EF">
              <w:rPr>
                <w:rFonts w:ascii="Arial Unicode MS" w:hAnsi="Arial Unicode MS"/>
                <w:color w:val="990000"/>
              </w:rPr>
              <w:t>日</w:t>
            </w:r>
          </w:p>
          <w:p w14:paraId="35BF7C0F" w14:textId="77777777" w:rsidR="00A6011A" w:rsidRPr="003555EC" w:rsidRDefault="006D479E" w:rsidP="006D479E">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color w:val="990000"/>
              </w:rPr>
              <w:t>7</w:t>
            </w:r>
            <w:r w:rsidRPr="002E59EF">
              <w:rPr>
                <w:rFonts w:ascii="Arial Unicode MS" w:hAnsi="Arial Unicode MS"/>
                <w:color w:val="990000"/>
              </w:rPr>
              <w:t>年</w:t>
            </w:r>
            <w:r>
              <w:rPr>
                <w:rFonts w:ascii="Arial Unicode MS" w:hAnsi="Arial Unicode MS" w:hint="eastAsia"/>
                <w:color w:val="990000"/>
              </w:rPr>
              <w:t>1</w:t>
            </w:r>
            <w:r>
              <w:rPr>
                <w:rFonts w:ascii="Arial Unicode MS" w:hAnsi="Arial Unicode MS"/>
                <w:color w:val="990000"/>
              </w:rPr>
              <w:t>2</w:t>
            </w:r>
            <w:r w:rsidRPr="002E59EF">
              <w:rPr>
                <w:rFonts w:ascii="Arial Unicode MS" w:hAnsi="Arial Unicode MS"/>
                <w:color w:val="990000"/>
              </w:rPr>
              <w:t>月</w:t>
            </w:r>
            <w:r>
              <w:rPr>
                <w:rFonts w:ascii="Arial Unicode MS" w:hAnsi="Arial Unicode MS"/>
                <w:color w:val="990000"/>
              </w:rPr>
              <w:t>5</w:t>
            </w:r>
            <w:r w:rsidRPr="002E59EF">
              <w:rPr>
                <w:rFonts w:ascii="Arial Unicode MS" w:hAnsi="Arial Unicode MS"/>
                <w:color w:val="990000"/>
              </w:rPr>
              <w:t>日</w:t>
            </w:r>
          </w:p>
        </w:tc>
      </w:tr>
    </w:tbl>
    <w:p w14:paraId="414E4F27" w14:textId="1BFA1400"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財團法人原住民族語言研究發展基金會設置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43F623B"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bookmarkStart w:id="1" w:name="_GoBack"/>
      <w:bookmarkEnd w:id="1"/>
    </w:p>
    <w:p w14:paraId="3EA8742F" w14:textId="77777777" w:rsidR="00A6011A" w:rsidRPr="006D479E"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6D479E" w:rsidRPr="006D479E">
        <w:rPr>
          <w:rFonts w:ascii="Arial Unicode MS" w:hAnsi="Arial Unicode MS" w:hint="eastAsia"/>
          <w:bCs/>
          <w:color w:val="666699"/>
          <w:sz w:val="18"/>
        </w:rPr>
        <w:t>中華民國一百零七年十二月五日總統華總一義字第</w:t>
      </w:r>
      <w:r w:rsidR="006D479E" w:rsidRPr="006D479E">
        <w:rPr>
          <w:rFonts w:ascii="Arial Unicode MS" w:hAnsi="Arial Unicode MS" w:hint="eastAsia"/>
          <w:bCs/>
          <w:color w:val="666699"/>
          <w:sz w:val="18"/>
        </w:rPr>
        <w:t>10700130961</w:t>
      </w:r>
      <w:r w:rsidR="006D479E" w:rsidRPr="006D479E">
        <w:rPr>
          <w:rFonts w:ascii="Arial Unicode MS" w:hAnsi="Arial Unicode MS" w:hint="eastAsia"/>
          <w:bCs/>
          <w:color w:val="666699"/>
          <w:sz w:val="18"/>
        </w:rPr>
        <w:t>號令制定公布全文</w:t>
      </w:r>
      <w:r w:rsidR="006D479E" w:rsidRPr="006D479E">
        <w:rPr>
          <w:rFonts w:ascii="Arial Unicode MS" w:hAnsi="Arial Unicode MS" w:hint="eastAsia"/>
          <w:bCs/>
          <w:color w:val="666699"/>
          <w:sz w:val="18"/>
        </w:rPr>
        <w:t>21</w:t>
      </w:r>
      <w:r w:rsidR="006D479E" w:rsidRPr="006D479E">
        <w:rPr>
          <w:rFonts w:ascii="Arial Unicode MS" w:hAnsi="Arial Unicode MS" w:hint="eastAsia"/>
          <w:bCs/>
          <w:color w:val="666699"/>
          <w:sz w:val="18"/>
        </w:rPr>
        <w:t>條；並自公布日施行</w:t>
      </w:r>
    </w:p>
    <w:p w14:paraId="5F7E0790" w14:textId="77777777" w:rsidR="00845988" w:rsidRPr="003555EC" w:rsidRDefault="00845988" w:rsidP="0099154E">
      <w:pPr>
        <w:ind w:leftChars="75" w:left="150"/>
        <w:jc w:val="both"/>
        <w:rPr>
          <w:rFonts w:ascii="Arial Unicode MS" w:hAnsi="Arial Unicode MS"/>
          <w:b/>
          <w:bCs/>
          <w:color w:val="800000"/>
        </w:rPr>
      </w:pPr>
    </w:p>
    <w:p w14:paraId="00F50D03" w14:textId="77777777" w:rsidR="00A6011A" w:rsidRPr="00AF2E81" w:rsidRDefault="00A6011A" w:rsidP="00AF2E81">
      <w:pPr>
        <w:pStyle w:val="1"/>
        <w:rPr>
          <w:color w:val="990000"/>
        </w:rPr>
      </w:pPr>
      <w:r w:rsidRPr="00AF2E81">
        <w:rPr>
          <w:color w:val="990000"/>
        </w:rPr>
        <w:t>【</w:t>
      </w:r>
      <w:r w:rsidRPr="00AF2E81">
        <w:rPr>
          <w:rFonts w:hint="eastAsia"/>
          <w:color w:val="990000"/>
        </w:rPr>
        <w:t>法規內容</w:t>
      </w:r>
      <w:r w:rsidRPr="00AF2E81">
        <w:rPr>
          <w:color w:val="990000"/>
        </w:rPr>
        <w:t>】</w:t>
      </w:r>
    </w:p>
    <w:p w14:paraId="5400DC91" w14:textId="77777777" w:rsidR="006D479E" w:rsidRDefault="006D479E" w:rsidP="006D479E">
      <w:pPr>
        <w:pStyle w:val="2"/>
      </w:pPr>
      <w:bookmarkStart w:id="2" w:name="a1"/>
      <w:bookmarkEnd w:id="2"/>
      <w:r>
        <w:t>第</w:t>
      </w:r>
      <w:r>
        <w:t>1</w:t>
      </w:r>
      <w:r>
        <w:t>條（立法目的及制定依據）</w:t>
      </w:r>
    </w:p>
    <w:p w14:paraId="401A9486" w14:textId="77777777" w:rsidR="006D479E" w:rsidRDefault="006D479E" w:rsidP="006D479E">
      <w:pPr>
        <w:ind w:left="142"/>
        <w:rPr>
          <w:color w:val="17365D"/>
        </w:rPr>
      </w:pPr>
      <w:r>
        <w:rPr>
          <w:color w:val="17365D"/>
        </w:rPr>
        <w:t xml:space="preserve">　　為辦理原住民族語言研究發展事項，依據原住民族語言發展法第</w:t>
      </w:r>
      <w:hyperlink r:id="rId15" w:anchor="a27" w:history="1">
        <w:r w:rsidRPr="00066BFA">
          <w:rPr>
            <w:rStyle w:val="a3"/>
            <w:rFonts w:ascii="Times New Roman" w:hAnsi="Times New Roman"/>
          </w:rPr>
          <w:t>二十七</w:t>
        </w:r>
      </w:hyperlink>
      <w:r>
        <w:rPr>
          <w:color w:val="17365D"/>
        </w:rPr>
        <w:t>條規定制定本條例，設置財團法人原住民族語言研究發展基金會（以下簡稱本基金會）。</w:t>
      </w:r>
    </w:p>
    <w:p w14:paraId="56C0A28F" w14:textId="77777777" w:rsidR="006D479E" w:rsidRDefault="006D479E" w:rsidP="006D479E">
      <w:pPr>
        <w:pStyle w:val="2"/>
      </w:pPr>
      <w:bookmarkStart w:id="3" w:name="a2"/>
      <w:bookmarkEnd w:id="3"/>
      <w:r>
        <w:t>第</w:t>
      </w:r>
      <w:r>
        <w:t>2</w:t>
      </w:r>
      <w:r>
        <w:t>條（法律適用範圍）</w:t>
      </w:r>
    </w:p>
    <w:p w14:paraId="37292589" w14:textId="77777777" w:rsidR="006D479E" w:rsidRDefault="006D479E" w:rsidP="006D479E">
      <w:pPr>
        <w:ind w:left="142"/>
        <w:rPr>
          <w:color w:val="17365D"/>
        </w:rPr>
      </w:pPr>
      <w:r>
        <w:rPr>
          <w:color w:val="17365D"/>
        </w:rPr>
        <w:t xml:space="preserve">　　本基金會之設置依本條例之規定；本條例未規定者，適用其他相關法律之規定。</w:t>
      </w:r>
    </w:p>
    <w:p w14:paraId="4091CD97" w14:textId="77777777" w:rsidR="006D479E" w:rsidRDefault="006D479E" w:rsidP="006D479E">
      <w:pPr>
        <w:pStyle w:val="2"/>
      </w:pPr>
      <w:bookmarkStart w:id="4" w:name="a3"/>
      <w:bookmarkEnd w:id="4"/>
      <w:r>
        <w:t>第</w:t>
      </w:r>
      <w:r>
        <w:t>3</w:t>
      </w:r>
      <w:r>
        <w:t>條（主管機關）</w:t>
      </w:r>
    </w:p>
    <w:p w14:paraId="3488E502" w14:textId="77777777" w:rsidR="006D479E" w:rsidRDefault="006D479E" w:rsidP="006D479E">
      <w:pPr>
        <w:ind w:left="142"/>
        <w:rPr>
          <w:color w:val="17365D"/>
        </w:rPr>
      </w:pPr>
      <w:r>
        <w:rPr>
          <w:color w:val="17365D"/>
        </w:rPr>
        <w:t xml:space="preserve">　　本基金會之主管機關為原住民族委員會。</w:t>
      </w:r>
    </w:p>
    <w:p w14:paraId="02C65EB0" w14:textId="77777777" w:rsidR="006D479E" w:rsidRDefault="006D479E" w:rsidP="006D479E">
      <w:pPr>
        <w:pStyle w:val="2"/>
      </w:pPr>
      <w:bookmarkStart w:id="5" w:name="a4"/>
      <w:bookmarkEnd w:id="5"/>
      <w:r>
        <w:t>第</w:t>
      </w:r>
      <w:r>
        <w:t>4</w:t>
      </w:r>
      <w:r>
        <w:t>條（創立基金）</w:t>
      </w:r>
    </w:p>
    <w:p w14:paraId="0F2B3B11" w14:textId="77777777" w:rsidR="006D479E" w:rsidRDefault="006D479E" w:rsidP="006D479E">
      <w:pPr>
        <w:ind w:left="142"/>
        <w:rPr>
          <w:color w:val="17365D"/>
        </w:rPr>
      </w:pPr>
      <w:r>
        <w:rPr>
          <w:color w:val="17365D"/>
        </w:rPr>
        <w:t xml:space="preserve">　　本基金會之創立基金新臺幣二千萬元，由主管機關編列預算捐助之。</w:t>
      </w:r>
    </w:p>
    <w:p w14:paraId="0885A657" w14:textId="77777777" w:rsidR="006D479E" w:rsidRDefault="006D479E" w:rsidP="006D479E">
      <w:pPr>
        <w:pStyle w:val="2"/>
      </w:pPr>
      <w:bookmarkStart w:id="6" w:name="a5"/>
      <w:bookmarkEnd w:id="6"/>
      <w:r>
        <w:t>第</w:t>
      </w:r>
      <w:r>
        <w:t>5</w:t>
      </w:r>
      <w:r>
        <w:t>條（經費來源）</w:t>
      </w:r>
    </w:p>
    <w:p w14:paraId="0A4B13B4" w14:textId="77777777" w:rsidR="006D479E" w:rsidRDefault="006D479E" w:rsidP="006D479E">
      <w:pPr>
        <w:ind w:left="142"/>
        <w:rPr>
          <w:color w:val="17365D"/>
        </w:rPr>
      </w:pPr>
      <w:r>
        <w:rPr>
          <w:color w:val="17365D"/>
        </w:rPr>
        <w:t xml:space="preserve">　　本基金會之經費來源如下：</w:t>
      </w:r>
    </w:p>
    <w:p w14:paraId="7D3F876D" w14:textId="77777777" w:rsidR="006D479E" w:rsidRDefault="006D479E" w:rsidP="006D479E">
      <w:pPr>
        <w:ind w:left="142"/>
        <w:rPr>
          <w:color w:val="17365D"/>
        </w:rPr>
      </w:pPr>
      <w:r>
        <w:rPr>
          <w:color w:val="17365D"/>
        </w:rPr>
        <w:t xml:space="preserve">　　一、政府編列預算之捐贈。</w:t>
      </w:r>
    </w:p>
    <w:p w14:paraId="093B52CB" w14:textId="77777777" w:rsidR="006D479E" w:rsidRDefault="006D479E" w:rsidP="006D479E">
      <w:pPr>
        <w:ind w:left="142"/>
        <w:rPr>
          <w:color w:val="17365D"/>
        </w:rPr>
      </w:pPr>
      <w:r>
        <w:rPr>
          <w:color w:val="17365D"/>
        </w:rPr>
        <w:t xml:space="preserve">　　二、基金之孳息收入。</w:t>
      </w:r>
    </w:p>
    <w:p w14:paraId="43E3E254" w14:textId="77777777" w:rsidR="006D479E" w:rsidRDefault="006D479E" w:rsidP="006D479E">
      <w:pPr>
        <w:ind w:left="142"/>
        <w:rPr>
          <w:color w:val="17365D"/>
        </w:rPr>
      </w:pPr>
      <w:r>
        <w:rPr>
          <w:color w:val="17365D"/>
        </w:rPr>
        <w:t xml:space="preserve">　　三、國內外公私機構、團體、法人或個人之捐贈。但不包括大陸地區人民、法人、團體或其他機構之捐贈。</w:t>
      </w:r>
    </w:p>
    <w:p w14:paraId="186E8D48" w14:textId="77777777" w:rsidR="006D479E" w:rsidRDefault="006D479E" w:rsidP="006D479E">
      <w:pPr>
        <w:ind w:left="142"/>
        <w:rPr>
          <w:color w:val="17365D"/>
        </w:rPr>
      </w:pPr>
      <w:r>
        <w:rPr>
          <w:color w:val="17365D"/>
        </w:rPr>
        <w:t xml:space="preserve">　　四、其他有關收入。</w:t>
      </w:r>
    </w:p>
    <w:p w14:paraId="642EB1AF" w14:textId="77777777" w:rsidR="006D479E" w:rsidRDefault="006D479E" w:rsidP="006D479E">
      <w:pPr>
        <w:pStyle w:val="2"/>
      </w:pPr>
      <w:bookmarkStart w:id="7" w:name="a6"/>
      <w:bookmarkEnd w:id="7"/>
      <w:r>
        <w:t>第</w:t>
      </w:r>
      <w:r>
        <w:t>6</w:t>
      </w:r>
      <w:r>
        <w:t>條（業務範圍）</w:t>
      </w:r>
    </w:p>
    <w:p w14:paraId="6E637F0E" w14:textId="77777777" w:rsidR="006D479E" w:rsidRDefault="006D479E" w:rsidP="006D479E">
      <w:pPr>
        <w:ind w:left="142"/>
        <w:rPr>
          <w:color w:val="17365D"/>
        </w:rPr>
      </w:pPr>
      <w:r>
        <w:rPr>
          <w:color w:val="17365D"/>
        </w:rPr>
        <w:t xml:space="preserve">　　本基金會之業務範圍如下：</w:t>
      </w:r>
    </w:p>
    <w:p w14:paraId="7A0E3F48" w14:textId="77777777" w:rsidR="006D479E" w:rsidRDefault="006D479E" w:rsidP="006D479E">
      <w:pPr>
        <w:ind w:left="142"/>
        <w:rPr>
          <w:color w:val="17365D"/>
        </w:rPr>
      </w:pPr>
      <w:r>
        <w:rPr>
          <w:color w:val="17365D"/>
        </w:rPr>
        <w:t xml:space="preserve">　　一、原住民族語言研究。</w:t>
      </w:r>
    </w:p>
    <w:p w14:paraId="0F9EAF76" w14:textId="77777777" w:rsidR="006D479E" w:rsidRDefault="006D479E" w:rsidP="006D479E">
      <w:pPr>
        <w:ind w:left="142"/>
        <w:rPr>
          <w:color w:val="17365D"/>
        </w:rPr>
      </w:pPr>
      <w:r>
        <w:rPr>
          <w:color w:val="17365D"/>
        </w:rPr>
        <w:t xml:space="preserve">　　二、研發原住民族語言教學。</w:t>
      </w:r>
    </w:p>
    <w:p w14:paraId="55BDF08C" w14:textId="77777777" w:rsidR="006D479E" w:rsidRDefault="006D479E" w:rsidP="006D479E">
      <w:pPr>
        <w:ind w:left="142"/>
        <w:rPr>
          <w:color w:val="17365D"/>
        </w:rPr>
      </w:pPr>
      <w:r>
        <w:rPr>
          <w:color w:val="17365D"/>
        </w:rPr>
        <w:t xml:space="preserve">　　三、典藏原住民族語料。</w:t>
      </w:r>
    </w:p>
    <w:p w14:paraId="72C20AEA" w14:textId="77777777" w:rsidR="006D479E" w:rsidRDefault="006D479E" w:rsidP="006D479E">
      <w:pPr>
        <w:ind w:left="142"/>
        <w:rPr>
          <w:color w:val="17365D"/>
        </w:rPr>
      </w:pPr>
      <w:r>
        <w:rPr>
          <w:color w:val="17365D"/>
        </w:rPr>
        <w:t xml:space="preserve">　　四、編纂原住民族語辭典。</w:t>
      </w:r>
    </w:p>
    <w:p w14:paraId="1929ADF8" w14:textId="77777777" w:rsidR="006D479E" w:rsidRDefault="006D479E" w:rsidP="006D479E">
      <w:pPr>
        <w:ind w:left="142"/>
        <w:rPr>
          <w:color w:val="17365D"/>
        </w:rPr>
      </w:pPr>
      <w:r>
        <w:rPr>
          <w:color w:val="17365D"/>
        </w:rPr>
        <w:t xml:space="preserve">　　五、建置原住民族語言資料庫。</w:t>
      </w:r>
    </w:p>
    <w:p w14:paraId="6F03B96A" w14:textId="77777777" w:rsidR="006D479E" w:rsidRDefault="006D479E" w:rsidP="006D479E">
      <w:pPr>
        <w:ind w:left="142"/>
        <w:rPr>
          <w:color w:val="17365D"/>
        </w:rPr>
      </w:pPr>
      <w:r>
        <w:rPr>
          <w:color w:val="17365D"/>
        </w:rPr>
        <w:t xml:space="preserve">　　六、推廣使用原住民族語言。</w:t>
      </w:r>
    </w:p>
    <w:p w14:paraId="7CED0BCB" w14:textId="77777777" w:rsidR="006D479E" w:rsidRDefault="006D479E" w:rsidP="006D479E">
      <w:pPr>
        <w:ind w:left="142"/>
        <w:rPr>
          <w:color w:val="17365D"/>
        </w:rPr>
      </w:pPr>
      <w:r>
        <w:rPr>
          <w:color w:val="17365D"/>
        </w:rPr>
        <w:lastRenderedPageBreak/>
        <w:t xml:space="preserve">　　七、辦理原住民族語言能力認證及發行學習教材。</w:t>
      </w:r>
    </w:p>
    <w:p w14:paraId="2CEA675A" w14:textId="77777777" w:rsidR="006D479E" w:rsidRDefault="006D479E" w:rsidP="006D479E">
      <w:pPr>
        <w:ind w:left="142"/>
        <w:rPr>
          <w:color w:val="17365D"/>
        </w:rPr>
      </w:pPr>
      <w:r>
        <w:rPr>
          <w:color w:val="17365D"/>
        </w:rPr>
        <w:t xml:space="preserve">　　八、其他有關原住民族語言研究發展事項。</w:t>
      </w:r>
    </w:p>
    <w:p w14:paraId="378BC43C" w14:textId="77777777" w:rsidR="006D479E" w:rsidRDefault="006D479E" w:rsidP="006D479E">
      <w:pPr>
        <w:pStyle w:val="2"/>
      </w:pPr>
      <w:bookmarkStart w:id="8" w:name="a7"/>
      <w:bookmarkEnd w:id="8"/>
      <w:r>
        <w:t>第</w:t>
      </w:r>
      <w:r>
        <w:t>7</w:t>
      </w:r>
      <w:r>
        <w:t>條（董事會與監事會之設置；各會成員人數及董事長、常務監察人之選任方式）</w:t>
      </w:r>
    </w:p>
    <w:p w14:paraId="07F3F1CA" w14:textId="77777777" w:rsidR="006D479E" w:rsidRDefault="006D479E" w:rsidP="006D479E">
      <w:pPr>
        <w:ind w:left="142"/>
        <w:rPr>
          <w:color w:val="17365D"/>
        </w:rPr>
      </w:pPr>
      <w:r>
        <w:rPr>
          <w:color w:val="17365D"/>
        </w:rPr>
        <w:t xml:space="preserve">　　本基金會設董事會，置董事九人至十七人，其中一人為董事長，由董事互選之。</w:t>
      </w:r>
    </w:p>
    <w:p w14:paraId="348F8A81" w14:textId="77777777" w:rsidR="006D479E" w:rsidRPr="006D479E" w:rsidRDefault="006D479E" w:rsidP="006D479E">
      <w:pPr>
        <w:ind w:left="142"/>
        <w:rPr>
          <w:color w:val="666699"/>
        </w:rPr>
      </w:pPr>
      <w:r w:rsidRPr="006D479E">
        <w:rPr>
          <w:color w:val="666699"/>
        </w:rPr>
        <w:t xml:space="preserve">　　董事長對內綜理會務，主持董事會，對外代表本基金會。董事長因故不能執行職務時，由董事互推一人代理之。</w:t>
      </w:r>
    </w:p>
    <w:p w14:paraId="01C15294" w14:textId="77777777" w:rsidR="006D479E" w:rsidRDefault="006D479E" w:rsidP="006D479E">
      <w:pPr>
        <w:ind w:left="142"/>
        <w:rPr>
          <w:color w:val="17365D"/>
        </w:rPr>
      </w:pPr>
      <w:r>
        <w:rPr>
          <w:color w:val="17365D"/>
        </w:rPr>
        <w:t xml:space="preserve">　　董事長因故不能執行職務逾三個月時，董事會得以董事三分之二以上出席，出席董事過半數之同意，決議解除其董事長職務。</w:t>
      </w:r>
    </w:p>
    <w:p w14:paraId="7089B7D4" w14:textId="77777777" w:rsidR="006D479E" w:rsidRPr="006D479E" w:rsidRDefault="006D479E" w:rsidP="006D479E">
      <w:pPr>
        <w:ind w:left="142"/>
        <w:rPr>
          <w:color w:val="666699"/>
        </w:rPr>
      </w:pPr>
      <w:r w:rsidRPr="006D479E">
        <w:rPr>
          <w:color w:val="666699"/>
        </w:rPr>
        <w:t xml:space="preserve">　　本基金會設監事會，置監察人三人至五人，其中一人為常務監察人，由監察人互選之。</w:t>
      </w:r>
    </w:p>
    <w:p w14:paraId="6E5E2578" w14:textId="77777777" w:rsidR="006D479E" w:rsidRDefault="006D479E" w:rsidP="006D479E">
      <w:pPr>
        <w:ind w:left="142"/>
        <w:rPr>
          <w:color w:val="17365D"/>
        </w:rPr>
      </w:pPr>
      <w:r>
        <w:rPr>
          <w:color w:val="17365D"/>
        </w:rPr>
        <w:t xml:space="preserve">　　常務監察人應列席董事會。如因故不能列席時，由監察人互推一人代理之。</w:t>
      </w:r>
    </w:p>
    <w:p w14:paraId="2CD05B44" w14:textId="77777777" w:rsidR="006D479E" w:rsidRDefault="006D479E" w:rsidP="006D479E">
      <w:pPr>
        <w:pStyle w:val="2"/>
      </w:pPr>
      <w:bookmarkStart w:id="9" w:name="a8"/>
      <w:bookmarkEnd w:id="9"/>
      <w:r>
        <w:t>第</w:t>
      </w:r>
      <w:r>
        <w:t>8</w:t>
      </w:r>
      <w:r>
        <w:t>條（董事、監察人之產生方式）</w:t>
      </w:r>
    </w:p>
    <w:p w14:paraId="5049FE1E" w14:textId="013FA3C9" w:rsidR="006D479E" w:rsidRDefault="006D479E" w:rsidP="006D479E">
      <w:pPr>
        <w:ind w:left="142"/>
        <w:rPr>
          <w:color w:val="17365D"/>
        </w:rPr>
      </w:pPr>
      <w:r>
        <w:rPr>
          <w:color w:val="17365D"/>
        </w:rPr>
        <w:t xml:space="preserve">　　董事、監察人人選，由主管機關提請行政院院長遴聘之；董事、監察人之原住民代表比例，各不得少於二分之一，任一性別不得少於三分之一。董事長應具原住民身分。其遴聘辦法由主管機關另</w:t>
      </w:r>
      <w:hyperlink r:id="rId16" w:history="1">
        <w:r w:rsidRPr="007F1CB1">
          <w:rPr>
            <w:rStyle w:val="a3"/>
            <w:rFonts w:ascii="Times New Roman" w:hAnsi="Times New Roman"/>
          </w:rPr>
          <w:t>定之</w:t>
        </w:r>
      </w:hyperlink>
      <w:r>
        <w:rPr>
          <w:color w:val="17365D"/>
        </w:rPr>
        <w:t>。</w:t>
      </w:r>
    </w:p>
    <w:p w14:paraId="41A6AA80" w14:textId="77777777" w:rsidR="006D479E" w:rsidRPr="006D479E" w:rsidRDefault="006D479E" w:rsidP="006D479E">
      <w:pPr>
        <w:ind w:left="142"/>
        <w:rPr>
          <w:color w:val="666699"/>
        </w:rPr>
      </w:pPr>
      <w:r w:rsidRPr="006D479E">
        <w:rPr>
          <w:color w:val="666699"/>
        </w:rPr>
        <w:t xml:space="preserve">　　董事之選任，應顧及原住民族之代表性，並考量語言、教育、文化之專業性。監察人應具有語言、法律、會計或財務之相關經驗或學識。</w:t>
      </w:r>
    </w:p>
    <w:p w14:paraId="31E7D607" w14:textId="77777777" w:rsidR="006D479E" w:rsidRDefault="006D479E" w:rsidP="006D479E">
      <w:pPr>
        <w:ind w:left="142"/>
        <w:rPr>
          <w:color w:val="17365D"/>
        </w:rPr>
      </w:pPr>
      <w:r>
        <w:rPr>
          <w:color w:val="17365D"/>
        </w:rPr>
        <w:t xml:space="preserve">　　董事、監察人之聘期為三年，以連任一次為限。連任之董事、監察人人數，不得逾改聘董事或監察人總人數三分之二。</w:t>
      </w:r>
    </w:p>
    <w:p w14:paraId="260AA91B" w14:textId="77777777" w:rsidR="006D479E" w:rsidRDefault="006D479E" w:rsidP="006D479E">
      <w:pPr>
        <w:pStyle w:val="2"/>
      </w:pPr>
      <w:bookmarkStart w:id="10" w:name="a9"/>
      <w:bookmarkEnd w:id="10"/>
      <w:r>
        <w:t>第</w:t>
      </w:r>
      <w:r>
        <w:t>9</w:t>
      </w:r>
      <w:r>
        <w:t>條（董事、監察人聘期及出缺處理）</w:t>
      </w:r>
    </w:p>
    <w:p w14:paraId="02062D21" w14:textId="77777777" w:rsidR="006D479E" w:rsidRDefault="006D479E" w:rsidP="006D479E">
      <w:pPr>
        <w:ind w:left="142"/>
        <w:rPr>
          <w:color w:val="17365D"/>
        </w:rPr>
      </w:pPr>
      <w:r>
        <w:rPr>
          <w:color w:val="17365D"/>
        </w:rPr>
        <w:t xml:space="preserve">　　董事、監察人因辭職、死亡或解聘致生缺額者，其所遺缺額，由主管機關依前條規定補聘之。</w:t>
      </w:r>
    </w:p>
    <w:p w14:paraId="41FE06EE" w14:textId="77777777" w:rsidR="006D479E" w:rsidRPr="006D479E" w:rsidRDefault="006D479E" w:rsidP="006D479E">
      <w:pPr>
        <w:ind w:left="142"/>
        <w:rPr>
          <w:color w:val="666699"/>
        </w:rPr>
      </w:pPr>
      <w:r w:rsidRPr="006D479E">
        <w:rPr>
          <w:color w:val="666699"/>
        </w:rPr>
        <w:t xml:space="preserve">　　補聘之董事、監察人，其聘期以補足原任者之聘期為止。</w:t>
      </w:r>
    </w:p>
    <w:p w14:paraId="495CBE4A" w14:textId="77777777" w:rsidR="006D479E" w:rsidRDefault="006D479E" w:rsidP="006D479E">
      <w:pPr>
        <w:pStyle w:val="2"/>
      </w:pPr>
      <w:bookmarkStart w:id="11" w:name="a10"/>
      <w:bookmarkEnd w:id="11"/>
      <w:r>
        <w:t>第</w:t>
      </w:r>
      <w:r>
        <w:t>10</w:t>
      </w:r>
      <w:r>
        <w:t>條（董事會之職掌）</w:t>
      </w:r>
    </w:p>
    <w:p w14:paraId="05FD07F6" w14:textId="77777777" w:rsidR="006D479E" w:rsidRDefault="006D479E" w:rsidP="006D479E">
      <w:pPr>
        <w:ind w:left="142"/>
        <w:rPr>
          <w:color w:val="17365D"/>
        </w:rPr>
      </w:pPr>
      <w:r>
        <w:rPr>
          <w:color w:val="17365D"/>
        </w:rPr>
        <w:t xml:space="preserve">　　董事會之職掌如下：</w:t>
      </w:r>
    </w:p>
    <w:p w14:paraId="57270B22" w14:textId="77777777" w:rsidR="006D479E" w:rsidRDefault="006D479E" w:rsidP="006D479E">
      <w:pPr>
        <w:ind w:left="142"/>
        <w:rPr>
          <w:color w:val="17365D"/>
        </w:rPr>
      </w:pPr>
      <w:r>
        <w:rPr>
          <w:color w:val="17365D"/>
        </w:rPr>
        <w:t xml:space="preserve">　　一、工作方針之核定。</w:t>
      </w:r>
    </w:p>
    <w:p w14:paraId="0FE2FBFC" w14:textId="77777777" w:rsidR="006D479E" w:rsidRDefault="006D479E" w:rsidP="006D479E">
      <w:pPr>
        <w:ind w:left="142"/>
        <w:rPr>
          <w:color w:val="17365D"/>
        </w:rPr>
      </w:pPr>
      <w:r>
        <w:rPr>
          <w:color w:val="17365D"/>
        </w:rPr>
        <w:t xml:space="preserve">　　二、重大計劃之核定。</w:t>
      </w:r>
    </w:p>
    <w:p w14:paraId="11E9A3DA" w14:textId="77777777" w:rsidR="006D479E" w:rsidRDefault="006D479E" w:rsidP="006D479E">
      <w:pPr>
        <w:ind w:left="142"/>
        <w:rPr>
          <w:color w:val="17365D"/>
        </w:rPr>
      </w:pPr>
      <w:r>
        <w:rPr>
          <w:color w:val="17365D"/>
        </w:rPr>
        <w:t xml:space="preserve">　　三、基金之籌集、保管及運用。</w:t>
      </w:r>
    </w:p>
    <w:p w14:paraId="4B3FA99A" w14:textId="77777777" w:rsidR="006D479E" w:rsidRDefault="006D479E" w:rsidP="006D479E">
      <w:pPr>
        <w:ind w:left="142"/>
        <w:rPr>
          <w:color w:val="17365D"/>
        </w:rPr>
      </w:pPr>
      <w:r>
        <w:rPr>
          <w:color w:val="17365D"/>
        </w:rPr>
        <w:t xml:space="preserve">　　四、預算及決算之審核。</w:t>
      </w:r>
    </w:p>
    <w:p w14:paraId="645A56C1" w14:textId="77777777" w:rsidR="006D479E" w:rsidRDefault="006D479E" w:rsidP="006D479E">
      <w:pPr>
        <w:ind w:left="142"/>
        <w:rPr>
          <w:color w:val="17365D"/>
        </w:rPr>
      </w:pPr>
      <w:r>
        <w:rPr>
          <w:color w:val="17365D"/>
        </w:rPr>
        <w:t xml:space="preserve">　　五、捐助章程變更之擬訂。</w:t>
      </w:r>
    </w:p>
    <w:p w14:paraId="78BF13D5" w14:textId="77777777" w:rsidR="006D479E" w:rsidRDefault="006D479E" w:rsidP="006D479E">
      <w:pPr>
        <w:ind w:left="142"/>
        <w:rPr>
          <w:color w:val="17365D"/>
        </w:rPr>
      </w:pPr>
      <w:r>
        <w:rPr>
          <w:color w:val="17365D"/>
        </w:rPr>
        <w:t xml:space="preserve">　　六、重要規章之訂定及修正。</w:t>
      </w:r>
    </w:p>
    <w:p w14:paraId="5568DDE5" w14:textId="77777777" w:rsidR="006D479E" w:rsidRDefault="006D479E" w:rsidP="006D479E">
      <w:pPr>
        <w:ind w:left="142"/>
        <w:rPr>
          <w:color w:val="17365D"/>
        </w:rPr>
      </w:pPr>
      <w:r>
        <w:rPr>
          <w:color w:val="17365D"/>
        </w:rPr>
        <w:t xml:space="preserve">　　七、重要人事之任免。</w:t>
      </w:r>
    </w:p>
    <w:p w14:paraId="33157C6C" w14:textId="77777777" w:rsidR="006D479E" w:rsidRDefault="006D479E" w:rsidP="006D479E">
      <w:pPr>
        <w:ind w:left="142"/>
        <w:rPr>
          <w:color w:val="17365D"/>
        </w:rPr>
      </w:pPr>
      <w:r>
        <w:rPr>
          <w:color w:val="17365D"/>
        </w:rPr>
        <w:t xml:space="preserve">　　八、其他重大事項之審議或核定。</w:t>
      </w:r>
    </w:p>
    <w:p w14:paraId="5A531A18" w14:textId="77777777" w:rsidR="006D479E" w:rsidRPr="006D479E" w:rsidRDefault="006D479E" w:rsidP="006D479E">
      <w:pPr>
        <w:ind w:left="142"/>
        <w:rPr>
          <w:color w:val="666699"/>
        </w:rPr>
      </w:pPr>
      <w:r w:rsidRPr="006D479E">
        <w:rPr>
          <w:color w:val="666699"/>
        </w:rPr>
        <w:t xml:space="preserve">　　董事會每三個月開會一次；董事長認為有必要或經三分之一以上董事之請求，得召開臨時會議。</w:t>
      </w:r>
    </w:p>
    <w:p w14:paraId="411CE2E9" w14:textId="77777777" w:rsidR="006D479E" w:rsidRDefault="006D479E" w:rsidP="006D479E">
      <w:pPr>
        <w:ind w:left="142"/>
        <w:rPr>
          <w:color w:val="17365D"/>
        </w:rPr>
      </w:pPr>
      <w:r>
        <w:rPr>
          <w:color w:val="17365D"/>
        </w:rPr>
        <w:t xml:space="preserve">　　董事會之決議，應有二分之一以上董事出席，以出席董事過半數之同意行之。</w:t>
      </w:r>
    </w:p>
    <w:p w14:paraId="0C39D678" w14:textId="77777777" w:rsidR="006D479E" w:rsidRDefault="006D479E" w:rsidP="006D479E">
      <w:pPr>
        <w:pStyle w:val="2"/>
      </w:pPr>
      <w:bookmarkStart w:id="12" w:name="a11"/>
      <w:bookmarkEnd w:id="12"/>
      <w:r>
        <w:t>第</w:t>
      </w:r>
      <w:r>
        <w:t>11</w:t>
      </w:r>
      <w:r>
        <w:t>條（監事會之職掌）</w:t>
      </w:r>
    </w:p>
    <w:p w14:paraId="21E57A8F" w14:textId="77777777" w:rsidR="006D479E" w:rsidRDefault="006D479E" w:rsidP="006D479E">
      <w:pPr>
        <w:ind w:left="142"/>
        <w:rPr>
          <w:color w:val="17365D"/>
        </w:rPr>
      </w:pPr>
      <w:r>
        <w:rPr>
          <w:color w:val="17365D"/>
        </w:rPr>
        <w:t xml:space="preserve">　　監事會之職掌如下：</w:t>
      </w:r>
    </w:p>
    <w:p w14:paraId="7B9B85EE" w14:textId="77777777" w:rsidR="006D479E" w:rsidRDefault="006D479E" w:rsidP="006D479E">
      <w:pPr>
        <w:ind w:left="142"/>
        <w:rPr>
          <w:color w:val="17365D"/>
        </w:rPr>
      </w:pPr>
      <w:r>
        <w:rPr>
          <w:color w:val="17365D"/>
        </w:rPr>
        <w:t xml:space="preserve">　　一、基金、存款之稽核。</w:t>
      </w:r>
    </w:p>
    <w:p w14:paraId="186DEE54" w14:textId="77777777" w:rsidR="006D479E" w:rsidRDefault="006D479E" w:rsidP="006D479E">
      <w:pPr>
        <w:ind w:left="142"/>
        <w:rPr>
          <w:color w:val="17365D"/>
        </w:rPr>
      </w:pPr>
      <w:r>
        <w:rPr>
          <w:color w:val="17365D"/>
        </w:rPr>
        <w:t xml:space="preserve">　　二、業務、財務狀況之審核。</w:t>
      </w:r>
    </w:p>
    <w:p w14:paraId="4C5CD186" w14:textId="77777777" w:rsidR="006D479E" w:rsidRDefault="006D479E" w:rsidP="006D479E">
      <w:pPr>
        <w:ind w:left="142"/>
        <w:rPr>
          <w:color w:val="17365D"/>
        </w:rPr>
      </w:pPr>
      <w:r>
        <w:rPr>
          <w:color w:val="17365D"/>
        </w:rPr>
        <w:lastRenderedPageBreak/>
        <w:t xml:space="preserve">　　三、財務帳冊、文件及財產資料之稽核。</w:t>
      </w:r>
    </w:p>
    <w:p w14:paraId="1FDEE6AF" w14:textId="77777777" w:rsidR="006D479E" w:rsidRDefault="006D479E" w:rsidP="006D479E">
      <w:pPr>
        <w:ind w:left="142"/>
        <w:rPr>
          <w:color w:val="17365D"/>
        </w:rPr>
      </w:pPr>
      <w:r>
        <w:rPr>
          <w:color w:val="17365D"/>
        </w:rPr>
        <w:t xml:space="preserve">　　四、決算表冊之審核。</w:t>
      </w:r>
    </w:p>
    <w:p w14:paraId="45449BB8" w14:textId="77777777" w:rsidR="006D479E" w:rsidRDefault="006D479E" w:rsidP="006D479E">
      <w:pPr>
        <w:ind w:left="142"/>
        <w:rPr>
          <w:color w:val="17365D"/>
        </w:rPr>
      </w:pPr>
      <w:r>
        <w:rPr>
          <w:color w:val="17365D"/>
        </w:rPr>
        <w:t xml:space="preserve">　　五、其他重大事項之審核或稽核。</w:t>
      </w:r>
    </w:p>
    <w:p w14:paraId="7416BB01" w14:textId="77777777" w:rsidR="006D479E" w:rsidRDefault="006D479E" w:rsidP="006D479E">
      <w:pPr>
        <w:pStyle w:val="2"/>
      </w:pPr>
      <w:bookmarkStart w:id="13" w:name="a12"/>
      <w:bookmarkEnd w:id="13"/>
      <w:r>
        <w:t>第</w:t>
      </w:r>
      <w:r>
        <w:t>12</w:t>
      </w:r>
      <w:r>
        <w:t>條（董事及監察人均為無給職；專職董事長為有給職）</w:t>
      </w:r>
    </w:p>
    <w:p w14:paraId="27111B69" w14:textId="77777777" w:rsidR="006D479E" w:rsidRDefault="006D479E" w:rsidP="006D479E">
      <w:pPr>
        <w:ind w:left="142"/>
        <w:rPr>
          <w:color w:val="17365D"/>
        </w:rPr>
      </w:pPr>
      <w:r>
        <w:rPr>
          <w:color w:val="17365D"/>
        </w:rPr>
        <w:t xml:space="preserve">　　董事及監察人除董事長為專任有給職外，均為無給職。</w:t>
      </w:r>
    </w:p>
    <w:p w14:paraId="56556356" w14:textId="77777777" w:rsidR="006D479E" w:rsidRDefault="006D479E" w:rsidP="006D479E">
      <w:pPr>
        <w:pStyle w:val="2"/>
      </w:pPr>
      <w:bookmarkStart w:id="14" w:name="a13"/>
      <w:bookmarkEnd w:id="14"/>
      <w:r>
        <w:t>第</w:t>
      </w:r>
      <w:r>
        <w:t>13</w:t>
      </w:r>
      <w:r>
        <w:t>條（董事與監察人之解聘事由及方式）</w:t>
      </w:r>
    </w:p>
    <w:p w14:paraId="24D0AC11" w14:textId="77777777" w:rsidR="006D479E" w:rsidRDefault="006D479E" w:rsidP="006D479E">
      <w:pPr>
        <w:ind w:left="142"/>
        <w:rPr>
          <w:color w:val="17365D"/>
        </w:rPr>
      </w:pPr>
      <w:r>
        <w:rPr>
          <w:color w:val="17365D"/>
        </w:rPr>
        <w:t xml:space="preserve">　　董事、監察人有下列情形之一者，主管機關應報請行政院院長解聘之：</w:t>
      </w:r>
    </w:p>
    <w:p w14:paraId="7465C923" w14:textId="77777777" w:rsidR="006D479E" w:rsidRDefault="006D479E" w:rsidP="006D479E">
      <w:pPr>
        <w:ind w:left="142"/>
        <w:rPr>
          <w:color w:val="17365D"/>
        </w:rPr>
      </w:pPr>
      <w:r>
        <w:rPr>
          <w:color w:val="17365D"/>
        </w:rPr>
        <w:t xml:space="preserve">　　一、執行職務違反法令或章程。</w:t>
      </w:r>
    </w:p>
    <w:p w14:paraId="7FE2300F" w14:textId="77777777" w:rsidR="006D479E" w:rsidRDefault="006D479E" w:rsidP="006D479E">
      <w:pPr>
        <w:ind w:left="142"/>
        <w:rPr>
          <w:color w:val="17365D"/>
        </w:rPr>
      </w:pPr>
      <w:r>
        <w:rPr>
          <w:color w:val="17365D"/>
        </w:rPr>
        <w:t xml:space="preserve">　　二、重大且明顯之不適任行為。</w:t>
      </w:r>
    </w:p>
    <w:p w14:paraId="235AA277" w14:textId="77777777" w:rsidR="006D479E" w:rsidRDefault="006D479E" w:rsidP="006D479E">
      <w:pPr>
        <w:ind w:left="142"/>
        <w:rPr>
          <w:color w:val="17365D"/>
        </w:rPr>
      </w:pPr>
      <w:r>
        <w:rPr>
          <w:color w:val="17365D"/>
        </w:rPr>
        <w:t xml:space="preserve">　　三、其他經董事會決議認定有違反職務上義務或有不適於董事職位之行為。</w:t>
      </w:r>
    </w:p>
    <w:p w14:paraId="6717822D" w14:textId="77777777" w:rsidR="006D479E" w:rsidRPr="006D479E" w:rsidRDefault="006D479E" w:rsidP="006D479E">
      <w:pPr>
        <w:ind w:left="142"/>
        <w:rPr>
          <w:color w:val="666699"/>
        </w:rPr>
      </w:pPr>
      <w:r w:rsidRPr="006D479E">
        <w:rPr>
          <w:color w:val="666699"/>
        </w:rPr>
        <w:t xml:space="preserve">　　有下列情事之一者，不得充任董事、監察人；其已充任者，當然解任：</w:t>
      </w:r>
    </w:p>
    <w:p w14:paraId="0BE9D51D" w14:textId="77777777" w:rsidR="006D479E" w:rsidRPr="006D479E" w:rsidRDefault="006D479E" w:rsidP="006D479E">
      <w:pPr>
        <w:ind w:left="142"/>
        <w:rPr>
          <w:color w:val="666699"/>
        </w:rPr>
      </w:pPr>
      <w:r w:rsidRPr="006D479E">
        <w:rPr>
          <w:color w:val="666699"/>
        </w:rPr>
        <w:t xml:space="preserve">　　一、政黨黨務工作人員。</w:t>
      </w:r>
    </w:p>
    <w:p w14:paraId="24A16811" w14:textId="77777777" w:rsidR="006D479E" w:rsidRPr="006D479E" w:rsidRDefault="006D479E" w:rsidP="006D479E">
      <w:pPr>
        <w:ind w:left="142"/>
        <w:rPr>
          <w:color w:val="666699"/>
        </w:rPr>
      </w:pPr>
      <w:r w:rsidRPr="006D479E">
        <w:rPr>
          <w:color w:val="666699"/>
        </w:rPr>
        <w:t xml:space="preserve">　　二、受破產宣告或依</w:t>
      </w:r>
      <w:hyperlink r:id="rId17" w:history="1">
        <w:r w:rsidRPr="00074992">
          <w:rPr>
            <w:rStyle w:val="a3"/>
            <w:rFonts w:ascii="Times New Roman" w:hAnsi="Times New Roman"/>
          </w:rPr>
          <w:t>消費者債務清理條例</w:t>
        </w:r>
      </w:hyperlink>
      <w:r w:rsidRPr="006D479E">
        <w:rPr>
          <w:color w:val="666699"/>
        </w:rPr>
        <w:t>經法院裁定開始清算程序，尚未復權。</w:t>
      </w:r>
    </w:p>
    <w:p w14:paraId="5F22264C" w14:textId="77777777" w:rsidR="006D479E" w:rsidRPr="006D479E" w:rsidRDefault="006D479E" w:rsidP="006D479E">
      <w:pPr>
        <w:ind w:left="142"/>
        <w:rPr>
          <w:color w:val="666699"/>
        </w:rPr>
      </w:pPr>
      <w:r w:rsidRPr="006D479E">
        <w:rPr>
          <w:color w:val="666699"/>
        </w:rPr>
        <w:t xml:space="preserve">　　三、受監護或輔助宣告，尚未撤銷。</w:t>
      </w:r>
    </w:p>
    <w:p w14:paraId="3C240E72" w14:textId="77777777" w:rsidR="006D479E" w:rsidRDefault="006D479E" w:rsidP="006D479E">
      <w:pPr>
        <w:ind w:left="142"/>
        <w:rPr>
          <w:color w:val="17365D"/>
        </w:rPr>
      </w:pPr>
      <w:r>
        <w:rPr>
          <w:color w:val="17365D"/>
        </w:rPr>
        <w:t xml:space="preserve">　　董事、監察人應遵守利益迴避原則，不得假借職務上權力、機會或方法，圖謀本人或第三人之利益，並準用</w:t>
      </w:r>
      <w:hyperlink r:id="rId18" w:history="1">
        <w:r w:rsidRPr="00074992">
          <w:rPr>
            <w:rStyle w:val="a3"/>
            <w:rFonts w:ascii="Times New Roman" w:hAnsi="Times New Roman"/>
          </w:rPr>
          <w:t>公職人員利益衝突迴避法</w:t>
        </w:r>
      </w:hyperlink>
      <w:r>
        <w:rPr>
          <w:color w:val="17365D"/>
        </w:rPr>
        <w:t>之規定。</w:t>
      </w:r>
    </w:p>
    <w:p w14:paraId="4E4B0747" w14:textId="77777777" w:rsidR="006D479E" w:rsidRDefault="006D479E" w:rsidP="006D479E">
      <w:pPr>
        <w:pStyle w:val="2"/>
      </w:pPr>
      <w:bookmarkStart w:id="15" w:name="a14"/>
      <w:bookmarkEnd w:id="15"/>
      <w:r>
        <w:t>第</w:t>
      </w:r>
      <w:r>
        <w:t>14</w:t>
      </w:r>
      <w:r>
        <w:t>條（執行長之聘請方式、任期及其職務）</w:t>
      </w:r>
    </w:p>
    <w:p w14:paraId="2F62FCCB" w14:textId="77777777" w:rsidR="006D479E" w:rsidRDefault="006D479E" w:rsidP="006D479E">
      <w:pPr>
        <w:ind w:left="142"/>
        <w:rPr>
          <w:color w:val="17365D"/>
        </w:rPr>
      </w:pPr>
      <w:r>
        <w:rPr>
          <w:color w:val="17365D"/>
        </w:rPr>
        <w:t xml:space="preserve">　　本基金會置執行長一人。</w:t>
      </w:r>
    </w:p>
    <w:p w14:paraId="0388D4F6" w14:textId="77777777" w:rsidR="006D479E" w:rsidRPr="006D479E" w:rsidRDefault="006D479E" w:rsidP="006D479E">
      <w:pPr>
        <w:ind w:left="142"/>
        <w:rPr>
          <w:color w:val="666699"/>
        </w:rPr>
      </w:pPr>
      <w:r w:rsidRPr="006D479E">
        <w:rPr>
          <w:color w:val="666699"/>
        </w:rPr>
        <w:t xml:space="preserve">　　執行長由董事長經公開甄選程序後，提請董事會由三分之二以上董事出席，出席董事過半數同意後聘請之。任期三年，期滿得續聘之。</w:t>
      </w:r>
    </w:p>
    <w:p w14:paraId="335E9358" w14:textId="77777777" w:rsidR="006D479E" w:rsidRDefault="006D479E" w:rsidP="006D479E">
      <w:pPr>
        <w:ind w:left="142"/>
        <w:rPr>
          <w:color w:val="17365D"/>
        </w:rPr>
      </w:pPr>
      <w:r>
        <w:rPr>
          <w:color w:val="17365D"/>
        </w:rPr>
        <w:t xml:space="preserve">　　執行長受董事長之指揮監督，執行本基金會會務。</w:t>
      </w:r>
    </w:p>
    <w:p w14:paraId="4E4776BA" w14:textId="77777777" w:rsidR="006D479E" w:rsidRPr="006D479E" w:rsidRDefault="006D479E" w:rsidP="006D479E">
      <w:pPr>
        <w:ind w:left="142"/>
        <w:rPr>
          <w:color w:val="666699"/>
        </w:rPr>
      </w:pPr>
      <w:r w:rsidRPr="006D479E">
        <w:rPr>
          <w:color w:val="666699"/>
        </w:rPr>
        <w:t xml:space="preserve">　　執行長如有第</w:t>
      </w:r>
      <w:hyperlink w:anchor="a13" w:history="1">
        <w:r w:rsidRPr="00066BFA">
          <w:rPr>
            <w:rStyle w:val="a3"/>
            <w:rFonts w:ascii="Times New Roman" w:hAnsi="Times New Roman"/>
          </w:rPr>
          <w:t>十三</w:t>
        </w:r>
      </w:hyperlink>
      <w:r w:rsidRPr="006D479E">
        <w:rPr>
          <w:color w:val="666699"/>
        </w:rPr>
        <w:t>條或其他顯不適任之情事，由董事長提請董事會解聘之。執行長辭職、死亡或解聘者，其補聘執行長之任期，以補足原任者之任期為止。</w:t>
      </w:r>
    </w:p>
    <w:p w14:paraId="26A29CA8" w14:textId="77777777" w:rsidR="006D479E" w:rsidRDefault="006D479E" w:rsidP="006D479E">
      <w:pPr>
        <w:pStyle w:val="2"/>
      </w:pPr>
      <w:bookmarkStart w:id="16" w:name="a15"/>
      <w:bookmarkEnd w:id="16"/>
      <w:r>
        <w:t>第</w:t>
      </w:r>
      <w:r>
        <w:t>15</w:t>
      </w:r>
      <w:r>
        <w:t>條（工作人員之資格）</w:t>
      </w:r>
    </w:p>
    <w:p w14:paraId="47609FC3" w14:textId="77777777" w:rsidR="006D479E" w:rsidRDefault="006D479E" w:rsidP="006D479E">
      <w:pPr>
        <w:ind w:left="142"/>
        <w:rPr>
          <w:color w:val="17365D"/>
        </w:rPr>
      </w:pPr>
      <w:r>
        <w:rPr>
          <w:color w:val="17365D"/>
        </w:rPr>
        <w:t xml:space="preserve">　　本基金會之工作人員，除會計相關人員外，應具備原住民族語言能力認證中級以上資格。</w:t>
      </w:r>
    </w:p>
    <w:p w14:paraId="60DDE7A9" w14:textId="77777777" w:rsidR="006D479E" w:rsidRDefault="006D479E" w:rsidP="006D479E">
      <w:pPr>
        <w:pStyle w:val="2"/>
      </w:pPr>
      <w:bookmarkStart w:id="17" w:name="a16"/>
      <w:bookmarkEnd w:id="17"/>
      <w:r>
        <w:t>第</w:t>
      </w:r>
      <w:r>
        <w:t>16</w:t>
      </w:r>
      <w:r>
        <w:t>條（組織編制及人員薪資之核定程序）</w:t>
      </w:r>
    </w:p>
    <w:p w14:paraId="3C0D26D8" w14:textId="77777777" w:rsidR="006D479E" w:rsidRDefault="006D479E" w:rsidP="006D479E">
      <w:pPr>
        <w:ind w:left="142"/>
        <w:rPr>
          <w:color w:val="17365D"/>
        </w:rPr>
      </w:pPr>
      <w:r>
        <w:rPr>
          <w:color w:val="17365D"/>
        </w:rPr>
        <w:t xml:space="preserve">　　本基金會組織編制及人員薪資，由董事會通過後，報請主管機關核定之。</w:t>
      </w:r>
    </w:p>
    <w:p w14:paraId="5F980E40" w14:textId="77777777" w:rsidR="006D479E" w:rsidRDefault="006D479E" w:rsidP="006D479E">
      <w:pPr>
        <w:pStyle w:val="2"/>
      </w:pPr>
      <w:bookmarkStart w:id="18" w:name="a17"/>
      <w:bookmarkEnd w:id="18"/>
      <w:r>
        <w:t>第</w:t>
      </w:r>
      <w:r>
        <w:t>17</w:t>
      </w:r>
      <w:r>
        <w:t>條（會計年度應與政府之會計年度一致）</w:t>
      </w:r>
    </w:p>
    <w:p w14:paraId="676788A9" w14:textId="77777777" w:rsidR="006D479E" w:rsidRDefault="006D479E" w:rsidP="006D479E">
      <w:pPr>
        <w:ind w:left="142"/>
        <w:rPr>
          <w:color w:val="17365D"/>
        </w:rPr>
      </w:pPr>
      <w:r>
        <w:rPr>
          <w:color w:val="17365D"/>
        </w:rPr>
        <w:t xml:space="preserve">　　本基金會之會計年度，應與政府之會計年度一致。</w:t>
      </w:r>
    </w:p>
    <w:p w14:paraId="09F2AC51" w14:textId="77777777" w:rsidR="006D479E" w:rsidRDefault="006D479E" w:rsidP="006D479E">
      <w:pPr>
        <w:pStyle w:val="2"/>
      </w:pPr>
      <w:bookmarkStart w:id="19" w:name="a18"/>
      <w:bookmarkEnd w:id="19"/>
      <w:r>
        <w:t>第</w:t>
      </w:r>
      <w:r>
        <w:t>18</w:t>
      </w:r>
      <w:r>
        <w:t>條（預算、決算之編審程序）</w:t>
      </w:r>
    </w:p>
    <w:p w14:paraId="3DC948A3" w14:textId="77777777" w:rsidR="006D479E" w:rsidRDefault="006D479E" w:rsidP="006D479E">
      <w:pPr>
        <w:ind w:left="142"/>
        <w:rPr>
          <w:color w:val="17365D"/>
        </w:rPr>
      </w:pPr>
      <w:r>
        <w:rPr>
          <w:color w:val="17365D"/>
        </w:rPr>
        <w:t xml:space="preserve">　　本基金會預算、決算之編審，依下列程序辦理：</w:t>
      </w:r>
    </w:p>
    <w:p w14:paraId="6DF46B4E" w14:textId="77777777" w:rsidR="006D479E" w:rsidRDefault="006D479E" w:rsidP="006D479E">
      <w:pPr>
        <w:ind w:left="142"/>
        <w:rPr>
          <w:color w:val="17365D"/>
        </w:rPr>
      </w:pPr>
      <w:r>
        <w:rPr>
          <w:color w:val="17365D"/>
        </w:rPr>
        <w:t xml:space="preserve">　　一、會計年度開始前，應訂定工作計畫，編列預算提經董事會通過後，報請主管機關循預算程序辦理。</w:t>
      </w:r>
    </w:p>
    <w:p w14:paraId="54C58439" w14:textId="77777777" w:rsidR="006D479E" w:rsidRDefault="006D479E" w:rsidP="006D479E">
      <w:pPr>
        <w:ind w:left="142"/>
        <w:rPr>
          <w:color w:val="17365D"/>
        </w:rPr>
      </w:pPr>
      <w:r>
        <w:rPr>
          <w:color w:val="17365D"/>
        </w:rPr>
        <w:t xml:space="preserve">　　二、會計年度終了二個月內，應將工作成果及收支決算，提經董事會審定，並送請監事會審核後，報請主管機關循決算程序辦理。</w:t>
      </w:r>
    </w:p>
    <w:p w14:paraId="386E6655" w14:textId="77777777" w:rsidR="006D479E" w:rsidRDefault="006D479E" w:rsidP="006D479E">
      <w:pPr>
        <w:ind w:left="142"/>
        <w:rPr>
          <w:color w:val="17365D"/>
        </w:rPr>
      </w:pPr>
      <w:r>
        <w:rPr>
          <w:color w:val="17365D"/>
        </w:rPr>
        <w:t xml:space="preserve">　　三、本基金會之經費，於事業年度終了，除保留項目外，如有賸餘應留存基金運用。</w:t>
      </w:r>
    </w:p>
    <w:p w14:paraId="7E58ACBB" w14:textId="77777777" w:rsidR="006D479E" w:rsidRDefault="006D479E" w:rsidP="006D479E">
      <w:pPr>
        <w:pStyle w:val="2"/>
      </w:pPr>
      <w:bookmarkStart w:id="20" w:name="a19"/>
      <w:bookmarkEnd w:id="20"/>
      <w:r>
        <w:t>第</w:t>
      </w:r>
      <w:r>
        <w:t>19</w:t>
      </w:r>
      <w:r>
        <w:t>條（捐助章程之訂定及變更程序）</w:t>
      </w:r>
    </w:p>
    <w:p w14:paraId="2AE78AAE" w14:textId="77777777" w:rsidR="006D479E" w:rsidRDefault="006D479E" w:rsidP="006D479E">
      <w:pPr>
        <w:ind w:left="142"/>
        <w:rPr>
          <w:color w:val="17365D"/>
        </w:rPr>
      </w:pPr>
      <w:r>
        <w:rPr>
          <w:color w:val="17365D"/>
        </w:rPr>
        <w:t xml:space="preserve">　　本基金會捐助章程，由主管機關依本條例及有關法律規定訂定之；變更時，由董事會擬訂後，報請主管機關核定。</w:t>
      </w:r>
    </w:p>
    <w:p w14:paraId="0FBFFBB9" w14:textId="77777777" w:rsidR="006D479E" w:rsidRDefault="006D479E" w:rsidP="006D479E">
      <w:pPr>
        <w:pStyle w:val="2"/>
      </w:pPr>
      <w:bookmarkStart w:id="21" w:name="a20"/>
      <w:bookmarkEnd w:id="21"/>
      <w:r>
        <w:t>第</w:t>
      </w:r>
      <w:r>
        <w:t>20</w:t>
      </w:r>
      <w:r>
        <w:t>條（解散之事由及賸餘財產之歸屬）</w:t>
      </w:r>
    </w:p>
    <w:p w14:paraId="532898C2" w14:textId="77777777" w:rsidR="006D479E" w:rsidRDefault="006D479E" w:rsidP="006D479E">
      <w:pPr>
        <w:ind w:left="142"/>
        <w:rPr>
          <w:color w:val="17365D"/>
        </w:rPr>
      </w:pPr>
      <w:r>
        <w:rPr>
          <w:color w:val="17365D"/>
        </w:rPr>
        <w:t xml:space="preserve">　　本基金會有下列情形之一者，主管機關得解散之，解散後其賸餘財產歸屬國庫：</w:t>
      </w:r>
    </w:p>
    <w:p w14:paraId="57793F4A" w14:textId="77777777" w:rsidR="006D479E" w:rsidRDefault="006D479E" w:rsidP="006D479E">
      <w:pPr>
        <w:ind w:left="142"/>
        <w:rPr>
          <w:color w:val="17365D"/>
        </w:rPr>
      </w:pPr>
      <w:r>
        <w:rPr>
          <w:color w:val="17365D"/>
        </w:rPr>
        <w:t xml:space="preserve">　　一、已完成設立目的、無法達成設立時之目的或效益不彰，而無存續之必要。</w:t>
      </w:r>
    </w:p>
    <w:p w14:paraId="617DDA8A" w14:textId="77777777" w:rsidR="006D479E" w:rsidRDefault="006D479E" w:rsidP="006D479E">
      <w:pPr>
        <w:ind w:left="142"/>
        <w:rPr>
          <w:color w:val="17365D"/>
        </w:rPr>
      </w:pPr>
      <w:r>
        <w:rPr>
          <w:color w:val="17365D"/>
        </w:rPr>
        <w:t xml:space="preserve">　　二、因情事變更，而無存續之必要。</w:t>
      </w:r>
    </w:p>
    <w:p w14:paraId="3435C61C" w14:textId="77777777" w:rsidR="006D479E" w:rsidRPr="006D479E" w:rsidRDefault="006D479E" w:rsidP="006D479E">
      <w:pPr>
        <w:pStyle w:val="2"/>
      </w:pPr>
      <w:bookmarkStart w:id="22" w:name="a21"/>
      <w:bookmarkEnd w:id="22"/>
      <w:r w:rsidRPr="006D479E">
        <w:t>第</w:t>
      </w:r>
      <w:r w:rsidRPr="006D479E">
        <w:t>21</w:t>
      </w:r>
      <w:r w:rsidRPr="006D479E">
        <w:t>條（施行日）</w:t>
      </w:r>
    </w:p>
    <w:p w14:paraId="0DFE022E" w14:textId="77777777" w:rsidR="006D479E" w:rsidRDefault="006D479E" w:rsidP="006D479E">
      <w:pPr>
        <w:ind w:left="142"/>
        <w:jc w:val="both"/>
        <w:rPr>
          <w:color w:val="17365D"/>
        </w:rPr>
      </w:pPr>
      <w:r>
        <w:rPr>
          <w:color w:val="17365D"/>
        </w:rPr>
        <w:t xml:space="preserve">　　本條例自公布日施行。</w:t>
      </w:r>
    </w:p>
    <w:p w14:paraId="64A668AA" w14:textId="77777777" w:rsidR="00431EEC" w:rsidRDefault="00431EEC" w:rsidP="00360C9D">
      <w:pPr>
        <w:ind w:left="142"/>
        <w:jc w:val="both"/>
        <w:rPr>
          <w:rFonts w:ascii="Arial Unicode MS" w:hAnsi="Arial Unicode MS"/>
          <w:color w:val="17365D"/>
        </w:rPr>
      </w:pPr>
    </w:p>
    <w:p w14:paraId="5F0A264F" w14:textId="77777777" w:rsidR="006D479E" w:rsidRPr="00D244FB" w:rsidRDefault="006D479E" w:rsidP="00360C9D">
      <w:pPr>
        <w:ind w:left="142"/>
        <w:jc w:val="both"/>
        <w:rPr>
          <w:rFonts w:ascii="Arial Unicode MS" w:hAnsi="Arial Unicode MS"/>
          <w:color w:val="17365D"/>
        </w:rPr>
      </w:pPr>
    </w:p>
    <w:p w14:paraId="236C9BC3"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18A0535F" w14:textId="5829356F"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ADE85" w14:textId="77777777" w:rsidR="00CF5D3E" w:rsidRDefault="00CF5D3E">
      <w:r>
        <w:separator/>
      </w:r>
    </w:p>
  </w:endnote>
  <w:endnote w:type="continuationSeparator" w:id="0">
    <w:p w14:paraId="3CF97B7C" w14:textId="77777777" w:rsidR="00CF5D3E" w:rsidRDefault="00CF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88ED7"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15CB954"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2EA64"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016AC43" w14:textId="77777777"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066BFA" w:rsidRPr="00066BFA">
      <w:rPr>
        <w:rFonts w:ascii="Arial Unicode MS" w:hAnsi="Arial Unicode MS" w:hint="eastAsia"/>
        <w:color w:val="000000"/>
        <w:sz w:val="18"/>
        <w:szCs w:val="24"/>
      </w:rPr>
      <w:t>財團法人原住民族語言研究發展基金會設置條例</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93D45" w14:textId="77777777" w:rsidR="00CF5D3E" w:rsidRDefault="00CF5D3E">
      <w:r>
        <w:separator/>
      </w:r>
    </w:p>
  </w:footnote>
  <w:footnote w:type="continuationSeparator" w:id="0">
    <w:p w14:paraId="7F8A3FF5" w14:textId="77777777" w:rsidR="00CF5D3E" w:rsidRDefault="00CF5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66BFA"/>
    <w:rsid w:val="0007318D"/>
    <w:rsid w:val="00074992"/>
    <w:rsid w:val="00087879"/>
    <w:rsid w:val="000A7115"/>
    <w:rsid w:val="000C1DAC"/>
    <w:rsid w:val="000D31F2"/>
    <w:rsid w:val="000D710E"/>
    <w:rsid w:val="000D7583"/>
    <w:rsid w:val="00100662"/>
    <w:rsid w:val="0012255A"/>
    <w:rsid w:val="001415EF"/>
    <w:rsid w:val="00143B85"/>
    <w:rsid w:val="00151F81"/>
    <w:rsid w:val="001662B2"/>
    <w:rsid w:val="001668E9"/>
    <w:rsid w:val="00173A16"/>
    <w:rsid w:val="00177095"/>
    <w:rsid w:val="001A49BA"/>
    <w:rsid w:val="001A7DEB"/>
    <w:rsid w:val="001C258B"/>
    <w:rsid w:val="001D6830"/>
    <w:rsid w:val="001E4EAE"/>
    <w:rsid w:val="001F4C97"/>
    <w:rsid w:val="00222E53"/>
    <w:rsid w:val="002275F3"/>
    <w:rsid w:val="0024136E"/>
    <w:rsid w:val="00241BBE"/>
    <w:rsid w:val="00247B35"/>
    <w:rsid w:val="00260074"/>
    <w:rsid w:val="002614EA"/>
    <w:rsid w:val="002B4B9C"/>
    <w:rsid w:val="002B565A"/>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D35D6"/>
    <w:rsid w:val="003E3D75"/>
    <w:rsid w:val="003F75CC"/>
    <w:rsid w:val="00411C6D"/>
    <w:rsid w:val="00431EEC"/>
    <w:rsid w:val="004339F1"/>
    <w:rsid w:val="004457D2"/>
    <w:rsid w:val="00452F61"/>
    <w:rsid w:val="00494A3E"/>
    <w:rsid w:val="004A0CC8"/>
    <w:rsid w:val="004B52A7"/>
    <w:rsid w:val="004B666F"/>
    <w:rsid w:val="004D1AE3"/>
    <w:rsid w:val="004D590E"/>
    <w:rsid w:val="004E21D2"/>
    <w:rsid w:val="004F73FB"/>
    <w:rsid w:val="005004A3"/>
    <w:rsid w:val="005075C1"/>
    <w:rsid w:val="005360FE"/>
    <w:rsid w:val="00561FD3"/>
    <w:rsid w:val="00565C88"/>
    <w:rsid w:val="00567A84"/>
    <w:rsid w:val="00570166"/>
    <w:rsid w:val="005805AB"/>
    <w:rsid w:val="00587BCC"/>
    <w:rsid w:val="005A3BDD"/>
    <w:rsid w:val="005C7F6E"/>
    <w:rsid w:val="005C7F8A"/>
    <w:rsid w:val="005F4657"/>
    <w:rsid w:val="006250A0"/>
    <w:rsid w:val="006254EE"/>
    <w:rsid w:val="0063000B"/>
    <w:rsid w:val="00632BB0"/>
    <w:rsid w:val="006631DB"/>
    <w:rsid w:val="00664DFB"/>
    <w:rsid w:val="00683312"/>
    <w:rsid w:val="006A2BCA"/>
    <w:rsid w:val="006A4941"/>
    <w:rsid w:val="006B2AE3"/>
    <w:rsid w:val="006D0623"/>
    <w:rsid w:val="006D479E"/>
    <w:rsid w:val="006D72FF"/>
    <w:rsid w:val="006E01BF"/>
    <w:rsid w:val="006E3BC0"/>
    <w:rsid w:val="006E705F"/>
    <w:rsid w:val="006F00F5"/>
    <w:rsid w:val="00703E61"/>
    <w:rsid w:val="007043B6"/>
    <w:rsid w:val="00707A19"/>
    <w:rsid w:val="007307BD"/>
    <w:rsid w:val="00733D34"/>
    <w:rsid w:val="00740D67"/>
    <w:rsid w:val="00740D7B"/>
    <w:rsid w:val="00755DE6"/>
    <w:rsid w:val="007720A1"/>
    <w:rsid w:val="00787B46"/>
    <w:rsid w:val="007B4E78"/>
    <w:rsid w:val="007B5269"/>
    <w:rsid w:val="007C5BAB"/>
    <w:rsid w:val="007D7E8D"/>
    <w:rsid w:val="007F1CB1"/>
    <w:rsid w:val="007F3639"/>
    <w:rsid w:val="00827B05"/>
    <w:rsid w:val="0083757D"/>
    <w:rsid w:val="00845988"/>
    <w:rsid w:val="00847FDF"/>
    <w:rsid w:val="008B03F1"/>
    <w:rsid w:val="008B5BAE"/>
    <w:rsid w:val="008C1688"/>
    <w:rsid w:val="008C4620"/>
    <w:rsid w:val="008C7018"/>
    <w:rsid w:val="008D7AA9"/>
    <w:rsid w:val="008E5159"/>
    <w:rsid w:val="0091603F"/>
    <w:rsid w:val="00931235"/>
    <w:rsid w:val="0095145E"/>
    <w:rsid w:val="00956013"/>
    <w:rsid w:val="009612D7"/>
    <w:rsid w:val="009758FD"/>
    <w:rsid w:val="0099154E"/>
    <w:rsid w:val="00991F3F"/>
    <w:rsid w:val="00995A2A"/>
    <w:rsid w:val="009D286B"/>
    <w:rsid w:val="009D54F3"/>
    <w:rsid w:val="009E0895"/>
    <w:rsid w:val="00A276FD"/>
    <w:rsid w:val="00A43518"/>
    <w:rsid w:val="00A47A95"/>
    <w:rsid w:val="00A51BA6"/>
    <w:rsid w:val="00A5787E"/>
    <w:rsid w:val="00A6011A"/>
    <w:rsid w:val="00A63811"/>
    <w:rsid w:val="00A71C27"/>
    <w:rsid w:val="00A71EEA"/>
    <w:rsid w:val="00A74392"/>
    <w:rsid w:val="00AB3534"/>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7380B"/>
    <w:rsid w:val="00C812BD"/>
    <w:rsid w:val="00C83397"/>
    <w:rsid w:val="00CF5D3E"/>
    <w:rsid w:val="00D027CD"/>
    <w:rsid w:val="00D046B8"/>
    <w:rsid w:val="00D2412B"/>
    <w:rsid w:val="00D244FB"/>
    <w:rsid w:val="00D2753B"/>
    <w:rsid w:val="00D27DEA"/>
    <w:rsid w:val="00D36745"/>
    <w:rsid w:val="00D36C72"/>
    <w:rsid w:val="00D409E5"/>
    <w:rsid w:val="00D66E62"/>
    <w:rsid w:val="00D81359"/>
    <w:rsid w:val="00DD42DD"/>
    <w:rsid w:val="00DE0054"/>
    <w:rsid w:val="00E13A0E"/>
    <w:rsid w:val="00E31347"/>
    <w:rsid w:val="00E3177E"/>
    <w:rsid w:val="00E44D88"/>
    <w:rsid w:val="00E623BE"/>
    <w:rsid w:val="00E678EC"/>
    <w:rsid w:val="00E718BD"/>
    <w:rsid w:val="00E81351"/>
    <w:rsid w:val="00E94405"/>
    <w:rsid w:val="00E94B1F"/>
    <w:rsid w:val="00EB2BDE"/>
    <w:rsid w:val="00EB52F5"/>
    <w:rsid w:val="00EC1889"/>
    <w:rsid w:val="00EC1B72"/>
    <w:rsid w:val="00ED0441"/>
    <w:rsid w:val="00F126D7"/>
    <w:rsid w:val="00F2026D"/>
    <w:rsid w:val="00F26B7D"/>
    <w:rsid w:val="00F3421C"/>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A9F872"/>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6D479E"/>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6D479E"/>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066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20844;&#32887;&#20154;&#21729;&#21033;&#30410;&#34909;&#31361;&#36852;&#36991;&#2786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6laws.net/" TargetMode="External"/><Relationship Id="rId17" Type="http://schemas.openxmlformats.org/officeDocument/2006/relationships/hyperlink" Target="&#28040;&#36027;&#32773;&#20661;&#21209;&#28165;&#29702;&#26781;&#20363;.docx" TargetMode="External"/><Relationship Id="rId2" Type="http://schemas.openxmlformats.org/officeDocument/2006/relationships/styles" Target="styles.xml"/><Relationship Id="rId16" Type="http://schemas.openxmlformats.org/officeDocument/2006/relationships/hyperlink" Target="../law3/&#36001;&#22296;&#27861;&#20154;&#21407;&#20303;&#27665;&#26063;&#35486;&#35328;&#30740;&#31350;&#30332;&#23637;&#22522;&#37329;&#26371;&#33891;&#20107;&#30435;&#23519;&#20154;&#36980;&#32856;&#36774;&#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5" Type="http://schemas.openxmlformats.org/officeDocument/2006/relationships/footnotes" Target="footnotes.xml"/><Relationship Id="rId15" Type="http://schemas.openxmlformats.org/officeDocument/2006/relationships/hyperlink" Target="&#21407;&#20303;&#27665;&#26063;&#35486;&#35328;&#30332;&#23637;&#27861;.docx" TargetMode="External"/><Relationship Id="rId23" Type="http://schemas.openxmlformats.org/officeDocument/2006/relationships/theme" Target="theme/theme1.xml"/><Relationship Id="rId10" Type="http://schemas.openxmlformats.org/officeDocument/2006/relationships/hyperlink" Target="http://www.facebook.com/anita6law"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law.moj.gov.tw/LawClass/LawHistory.aspx?pcode=D0130039" TargetMode="External"/><Relationship Id="rId14" Type="http://schemas.openxmlformats.org/officeDocument/2006/relationships/hyperlink" Target="https://www.6laws.net/6law/law/&#36001;&#22296;&#27861;&#20154;&#21407;&#20303;&#27665;&#26063;&#35486;&#35328;&#30740;&#31350;&#30332;&#23637;&#22522;&#37329;&#26371;&#35373;&#32622;&#26781;&#20363;.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財團法人原住民族語言研究發展基金會設置條例</dc:title>
  <dc:creator>S-link 電子六法-黃婉玲</dc:creator>
  <cp:lastModifiedBy>黃婉玲 S-link電子六法</cp:lastModifiedBy>
  <cp:revision>10</cp:revision>
  <dcterms:created xsi:type="dcterms:W3CDTF">2018-12-05T11:26:00Z</dcterms:created>
  <dcterms:modified xsi:type="dcterms:W3CDTF">2019-08-21T17:08:00Z</dcterms:modified>
</cp:coreProperties>
</file>