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22B91" w:rsidRDefault="00922B91" w:rsidP="00922B91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Arial Unicode MS" w:hAnsi="Arial Unicode MS"/>
          <w:noProof/>
        </w:rPr>
        <w:fldChar w:fldCharType="begin"/>
      </w:r>
      <w:r>
        <w:rPr>
          <w:rFonts w:ascii="Arial Unicode MS" w:hAnsi="Arial Unicode MS"/>
          <w:noProof/>
        </w:rPr>
        <w:instrText xml:space="preserve"> HYPERLINK "http://www.6law.idv.tw/" \t "_blank" </w:instrText>
      </w:r>
      <w:r>
        <w:rPr>
          <w:rFonts w:ascii="Arial Unicode MS" w:hAnsi="Arial Unicode MS"/>
          <w:noProof/>
        </w:rPr>
        <w:fldChar w:fldCharType="separate"/>
      </w:r>
      <w:r>
        <w:rPr>
          <w:rFonts w:ascii="Arial Unicode MS" w:hAnsi="Arial Unicode MS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1" o:spid="_x0000_i1025" type="#_x0000_t75" alt="6lawr" style="width:39.6pt;height:36.6pt;visibility:visible">
            <v:imagedata r:id="rId7" o:title="6lawr"/>
          </v:shape>
        </w:pict>
      </w:r>
      <w:r>
        <w:rPr>
          <w:rFonts w:ascii="Arial Unicode MS" w:hAnsi="Arial Unicode MS"/>
          <w:noProof/>
        </w:rPr>
        <w:fldChar w:fldCharType="end"/>
      </w:r>
    </w:p>
    <w:p w:rsidR="00922B91" w:rsidRDefault="00922B91" w:rsidP="00922B91">
      <w:pPr>
        <w:tabs>
          <w:tab w:val="left" w:pos="9498"/>
        </w:tabs>
        <w:adjustRightInd w:val="0"/>
        <w:snapToGrid w:val="0"/>
        <w:ind w:rightChars="8" w:right="16" w:firstLineChars="2880" w:firstLine="5184"/>
        <w:jc w:val="right"/>
        <w:rPr>
          <w:rFonts w:hint="eastAsia"/>
          <w:color w:val="7F7F7F"/>
          <w:sz w:val="18"/>
          <w:szCs w:val="20"/>
        </w:rPr>
      </w:pPr>
      <w:bookmarkStart w:id="1" w:name="top"/>
      <w:bookmarkEnd w:id="1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922B91">
          <w:rPr>
            <w:rStyle w:val="a3"/>
            <w:color w:val="585858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DB297A">
        <w:rPr>
          <w:rFonts w:ascii="Arial Unicode MS" w:hAnsi="Arial Unicode MS"/>
          <w:color w:val="5F5F5F"/>
          <w:sz w:val="18"/>
          <w:szCs w:val="20"/>
        </w:rPr>
        <w:t>2014/6/30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r>
        <w:rPr>
          <w:rFonts w:hint="eastAsia"/>
          <w:color w:val="7F7F7F"/>
          <w:sz w:val="18"/>
          <w:szCs w:val="20"/>
        </w:rPr>
        <w:t>編輯著作權者</w:t>
      </w:r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9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922B91" w:rsidRDefault="009A6C0D" w:rsidP="00922B91">
      <w:pPr>
        <w:adjustRightInd w:val="0"/>
        <w:snapToGrid w:val="0"/>
        <w:jc w:val="right"/>
        <w:rPr>
          <w:color w:val="808000"/>
          <w:sz w:val="18"/>
          <w:szCs w:val="20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021"/>
        <w:gridCol w:w="3769"/>
      </w:tblGrid>
      <w:tr w:rsidR="00A6011A" w:rsidRPr="005A5315" w:rsidTr="00E35096">
        <w:trPr>
          <w:cantSplit/>
          <w:trHeight w:val="750"/>
          <w:tblCellSpacing w:w="0" w:type="dxa"/>
        </w:trPr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A950E7" w:rsidRDefault="00A6011A" w:rsidP="00922B91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A950E7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A950E7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E35096" w:rsidRDefault="00E35096" w:rsidP="00ED34F9">
            <w:pPr>
              <w:jc w:val="center"/>
              <w:rPr>
                <w:rFonts w:eastAsia="標楷體" w:hint="eastAsia"/>
                <w:shadow/>
                <w:color w:val="993366"/>
                <w:sz w:val="28"/>
                <w:szCs w:val="28"/>
              </w:rPr>
            </w:pPr>
            <w:r w:rsidRPr="00E35096">
              <w:rPr>
                <w:rFonts w:eastAsia="標楷體" w:hint="eastAsia"/>
                <w:shadow/>
                <w:color w:val="993366"/>
                <w:sz w:val="28"/>
                <w:szCs w:val="28"/>
              </w:rPr>
              <w:t>廢</w:t>
            </w:r>
            <w:r w:rsidRPr="00E35096">
              <w:rPr>
                <w:rFonts w:eastAsia="標楷體" w:hint="eastAsia"/>
                <w:shadow/>
                <w:color w:val="993366"/>
                <w:sz w:val="28"/>
                <w:szCs w:val="28"/>
              </w:rPr>
              <w:t>:</w:t>
            </w:r>
            <w:r w:rsidR="00ED34F9" w:rsidRPr="00E35096">
              <w:rPr>
                <w:rFonts w:eastAsia="標楷體" w:hint="eastAsia"/>
                <w:shadow/>
                <w:color w:val="993366"/>
                <w:sz w:val="28"/>
                <w:szCs w:val="28"/>
              </w:rPr>
              <w:t>行政院人事行政局組織條例</w: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:rsidR="00A6011A" w:rsidRPr="00E35096" w:rsidRDefault="00DB297A" w:rsidP="00A950E7">
            <w:pPr>
              <w:ind w:leftChars="-6" w:left="-12"/>
              <w:jc w:val="both"/>
              <w:rPr>
                <w:rFonts w:ascii="Arial Unicode MS" w:hAnsi="Arial Unicode MS" w:hint="eastAsia"/>
                <w:color w:val="993366"/>
              </w:rPr>
            </w:pPr>
            <w:r w:rsidRPr="00DB297A">
              <w:rPr>
                <w:rFonts w:ascii="Arial Unicode MS" w:hAnsi="Arial Unicode MS" w:hint="eastAsia"/>
                <w:color w:val="993366"/>
              </w:rPr>
              <w:t>【公布日期】民國</w:t>
            </w:r>
            <w:r w:rsidRPr="00DB297A">
              <w:rPr>
                <w:rFonts w:ascii="Arial Unicode MS" w:hAnsi="Arial Unicode MS" w:hint="eastAsia"/>
                <w:color w:val="993366"/>
              </w:rPr>
              <w:t>103</w:t>
            </w:r>
            <w:r w:rsidRPr="00DB297A">
              <w:rPr>
                <w:rFonts w:ascii="Arial Unicode MS" w:hAnsi="Arial Unicode MS" w:hint="eastAsia"/>
                <w:color w:val="993366"/>
              </w:rPr>
              <w:t>年</w:t>
            </w:r>
            <w:r w:rsidRPr="00DB297A">
              <w:rPr>
                <w:rFonts w:ascii="Arial Unicode MS" w:hAnsi="Arial Unicode MS" w:hint="eastAsia"/>
                <w:color w:val="993366"/>
              </w:rPr>
              <w:t>6</w:t>
            </w:r>
            <w:r w:rsidRPr="00DB297A">
              <w:rPr>
                <w:rFonts w:ascii="Arial Unicode MS" w:hAnsi="Arial Unicode MS" w:hint="eastAsia"/>
                <w:color w:val="993366"/>
              </w:rPr>
              <w:t>月</w:t>
            </w:r>
            <w:r w:rsidRPr="00DB297A">
              <w:rPr>
                <w:rFonts w:ascii="Arial Unicode MS" w:hAnsi="Arial Unicode MS" w:hint="eastAsia"/>
                <w:color w:val="993366"/>
              </w:rPr>
              <w:t>18</w:t>
            </w:r>
            <w:r w:rsidRPr="00DB297A">
              <w:rPr>
                <w:rFonts w:ascii="Arial Unicode MS" w:hAnsi="Arial Unicode MS" w:hint="eastAsia"/>
                <w:color w:val="993366"/>
              </w:rPr>
              <w:t>日</w:t>
            </w:r>
          </w:p>
        </w:tc>
      </w:tr>
    </w:tbl>
    <w:p w:rsidR="00FC5363" w:rsidRPr="005A5315" w:rsidRDefault="009A6C0D" w:rsidP="00922B91">
      <w:pPr>
        <w:jc w:val="center"/>
        <w:rPr>
          <w:rFonts w:ascii="Arial Unicode MS" w:hAnsi="Arial Unicode MS" w:hint="eastAsia"/>
          <w:color w:val="808080"/>
          <w:u w:val="single"/>
        </w:rPr>
      </w:pPr>
      <w:r w:rsidRPr="007E576E">
        <w:rPr>
          <w:rFonts w:ascii="Arial Unicode MS" w:hAnsi="Arial Unicode MS" w:hint="eastAsia"/>
          <w:color w:val="FFFFFF"/>
          <w:sz w:val="18"/>
        </w:rPr>
        <w:t>‧</w:t>
      </w:r>
      <w:hyperlink r:id="rId10" w:anchor="行政院人事行政局組織條例" w:history="1">
        <w:r w:rsidRPr="007E576E">
          <w:rPr>
            <w:rStyle w:val="a3"/>
            <w:rFonts w:ascii="Arial Unicode MS" w:hAnsi="Arial Unicode MS" w:hint="eastAsia"/>
            <w:sz w:val="18"/>
          </w:rPr>
          <w:t>S-lin</w:t>
        </w:r>
        <w:r w:rsidRPr="007E576E">
          <w:rPr>
            <w:rStyle w:val="a3"/>
            <w:rFonts w:ascii="Arial Unicode MS" w:hAnsi="Arial Unicode MS" w:hint="eastAsia"/>
            <w:sz w:val="18"/>
          </w:rPr>
          <w:t>k</w:t>
        </w:r>
        <w:r w:rsidRPr="007E576E">
          <w:rPr>
            <w:rStyle w:val="a3"/>
            <w:rFonts w:ascii="Arial Unicode MS" w:hAnsi="Arial Unicode MS" w:hint="eastAsia"/>
            <w:sz w:val="18"/>
          </w:rPr>
          <w:t>總</w:t>
        </w:r>
        <w:r w:rsidRPr="007E576E">
          <w:rPr>
            <w:rStyle w:val="a3"/>
            <w:rFonts w:ascii="Arial Unicode MS" w:hAnsi="Arial Unicode MS" w:hint="eastAsia"/>
            <w:sz w:val="18"/>
          </w:rPr>
          <w:t>索</w:t>
        </w:r>
        <w:r w:rsidRPr="007E576E">
          <w:rPr>
            <w:rStyle w:val="a3"/>
            <w:rFonts w:ascii="Arial Unicode MS" w:hAnsi="Arial Unicode MS" w:hint="eastAsia"/>
            <w:sz w:val="18"/>
          </w:rPr>
          <w:t>引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  <w:hyperlink r:id="rId11" w:tgtFrame="_blank" w:history="1">
        <w:r w:rsidRPr="007E576E">
          <w:rPr>
            <w:rStyle w:val="a3"/>
            <w:rFonts w:hint="eastAsia"/>
            <w:sz w:val="18"/>
          </w:rPr>
          <w:t>線上網</w:t>
        </w:r>
        <w:r w:rsidRPr="007E576E">
          <w:rPr>
            <w:rStyle w:val="a3"/>
            <w:rFonts w:hint="eastAsia"/>
            <w:sz w:val="18"/>
          </w:rPr>
          <w:t>頁</w:t>
        </w:r>
        <w:r w:rsidRPr="007E576E">
          <w:rPr>
            <w:rStyle w:val="a3"/>
            <w:rFonts w:hint="eastAsia"/>
            <w:sz w:val="18"/>
          </w:rPr>
          <w:t>版</w:t>
        </w:r>
      </w:hyperlink>
      <w:r w:rsidRPr="0094524D">
        <w:rPr>
          <w:rFonts w:ascii="Arial Unicode MS" w:hAnsi="Arial Unicode MS" w:hint="eastAsia"/>
          <w:b/>
          <w:color w:val="5F5F5F"/>
          <w:sz w:val="18"/>
        </w:rPr>
        <w:t>&gt;&gt;</w:t>
      </w:r>
    </w:p>
    <w:p w:rsidR="00A6011A" w:rsidRPr="00E35096" w:rsidRDefault="00A6011A" w:rsidP="002D3449">
      <w:pPr>
        <w:pStyle w:val="1"/>
        <w:snapToGrid w:val="0"/>
        <w:spacing w:before="100" w:beforeAutospacing="1" w:after="100" w:afterAutospacing="1"/>
        <w:textAlignment w:val="auto"/>
        <w:rPr>
          <w:rFonts w:hint="eastAsia"/>
          <w:color w:val="auto"/>
        </w:rPr>
      </w:pPr>
      <w:r w:rsidRPr="00E35096">
        <w:rPr>
          <w:color w:val="auto"/>
        </w:rPr>
        <w:t>【</w:t>
      </w:r>
      <w:r w:rsidRPr="00E35096">
        <w:rPr>
          <w:rFonts w:hint="eastAsia"/>
          <w:color w:val="auto"/>
        </w:rPr>
        <w:t>法規沿革</w:t>
      </w:r>
      <w:r w:rsidRPr="00E35096">
        <w:rPr>
          <w:color w:val="auto"/>
        </w:rPr>
        <w:t>】</w:t>
      </w:r>
    </w:p>
    <w:p w:rsidR="00ED34F9" w:rsidRPr="008F3B32" w:rsidRDefault="00ED34F9" w:rsidP="008F3B32">
      <w:pPr>
        <w:ind w:left="142"/>
        <w:jc w:val="both"/>
        <w:rPr>
          <w:rFonts w:ascii="Arial Unicode MS" w:hAnsi="Arial Unicode MS" w:hint="eastAsia"/>
          <w:color w:val="666699"/>
          <w:sz w:val="18"/>
        </w:rPr>
      </w:pPr>
      <w:r w:rsidRPr="008F3B32">
        <w:rPr>
          <w:rFonts w:ascii="Arial Unicode MS" w:hAnsi="Arial Unicode MS" w:hint="eastAsia"/>
          <w:b/>
          <w:color w:val="666699"/>
          <w:sz w:val="18"/>
        </w:rPr>
        <w:t>1</w:t>
      </w:r>
      <w:r w:rsidR="00A950E7">
        <w:rPr>
          <w:rFonts w:ascii="Arial Unicode MS" w:hAnsi="Arial Unicode MS" w:hint="eastAsia"/>
          <w:b/>
          <w:color w:val="666699"/>
          <w:sz w:val="18"/>
        </w:rPr>
        <w:t>‧</w:t>
      </w:r>
      <w:r w:rsidRPr="008F3B32">
        <w:rPr>
          <w:rFonts w:ascii="Arial Unicode MS" w:hAnsi="Arial Unicode MS" w:hint="eastAsia"/>
          <w:color w:val="666699"/>
          <w:sz w:val="18"/>
        </w:rPr>
        <w:t>中華民國八十二年十二月三十日總統（</w:t>
      </w:r>
      <w:r w:rsidRPr="008F3B32">
        <w:rPr>
          <w:rFonts w:ascii="Arial Unicode MS" w:hAnsi="Arial Unicode MS" w:hint="eastAsia"/>
          <w:color w:val="666699"/>
          <w:sz w:val="18"/>
        </w:rPr>
        <w:t>82</w:t>
      </w:r>
      <w:r w:rsidRPr="008F3B32">
        <w:rPr>
          <w:rFonts w:ascii="Arial Unicode MS" w:hAnsi="Arial Unicode MS" w:hint="eastAsia"/>
          <w:color w:val="666699"/>
          <w:sz w:val="18"/>
        </w:rPr>
        <w:t>）華總（一）義字第</w:t>
      </w:r>
      <w:r w:rsidRPr="008F3B32">
        <w:rPr>
          <w:rFonts w:ascii="Arial Unicode MS" w:hAnsi="Arial Unicode MS" w:hint="eastAsia"/>
          <w:color w:val="666699"/>
          <w:sz w:val="18"/>
        </w:rPr>
        <w:t>7096</w:t>
      </w:r>
      <w:r w:rsidRPr="008F3B32">
        <w:rPr>
          <w:rFonts w:ascii="Arial Unicode MS" w:hAnsi="Arial Unicode MS" w:hint="eastAsia"/>
          <w:color w:val="666699"/>
          <w:sz w:val="18"/>
        </w:rPr>
        <w:t>號令制定公布全文</w:t>
      </w:r>
      <w:r w:rsidRPr="008F3B32">
        <w:rPr>
          <w:rFonts w:ascii="Arial Unicode MS" w:hAnsi="Arial Unicode MS" w:hint="eastAsia"/>
          <w:color w:val="666699"/>
          <w:sz w:val="18"/>
        </w:rPr>
        <w:t>20</w:t>
      </w:r>
      <w:r w:rsidRPr="008F3B32">
        <w:rPr>
          <w:rFonts w:ascii="Arial Unicode MS" w:hAnsi="Arial Unicode MS" w:hint="eastAsia"/>
          <w:color w:val="666699"/>
          <w:sz w:val="18"/>
        </w:rPr>
        <w:t>條</w:t>
      </w:r>
    </w:p>
    <w:p w:rsidR="00E35096" w:rsidRDefault="00ED34F9" w:rsidP="00E35096">
      <w:pPr>
        <w:ind w:left="142"/>
        <w:jc w:val="both"/>
        <w:rPr>
          <w:rFonts w:ascii="Arial Unicode MS" w:hAnsi="Arial Unicode MS" w:hint="eastAsia"/>
          <w:color w:val="666699"/>
          <w:sz w:val="18"/>
        </w:rPr>
      </w:pPr>
      <w:r w:rsidRPr="00ED34F9">
        <w:rPr>
          <w:rFonts w:ascii="Arial Unicode MS" w:hAnsi="Arial Unicode MS" w:hint="eastAsia"/>
          <w:b/>
          <w:color w:val="666699"/>
          <w:sz w:val="18"/>
        </w:rPr>
        <w:t>2</w:t>
      </w:r>
      <w:r w:rsidR="00A950E7">
        <w:rPr>
          <w:rFonts w:ascii="Arial Unicode MS" w:hAnsi="Arial Unicode MS" w:hint="eastAsia"/>
          <w:b/>
          <w:color w:val="666699"/>
          <w:sz w:val="18"/>
        </w:rPr>
        <w:t>‧</w:t>
      </w:r>
      <w:r w:rsidRPr="00ED34F9">
        <w:rPr>
          <w:rFonts w:ascii="Arial Unicode MS" w:hAnsi="Arial Unicode MS" w:hint="eastAsia"/>
          <w:color w:val="666699"/>
          <w:sz w:val="18"/>
        </w:rPr>
        <w:t>中華民國九十一年六月二十六日總統華總一義字第</w:t>
      </w:r>
      <w:r w:rsidRPr="00ED34F9">
        <w:rPr>
          <w:rFonts w:ascii="Arial Unicode MS" w:hAnsi="Arial Unicode MS" w:hint="eastAsia"/>
          <w:color w:val="666699"/>
          <w:sz w:val="18"/>
        </w:rPr>
        <w:t>09100125250</w:t>
      </w:r>
      <w:r w:rsidRPr="00ED34F9">
        <w:rPr>
          <w:rFonts w:ascii="Arial Unicode MS" w:hAnsi="Arial Unicode MS" w:hint="eastAsia"/>
          <w:color w:val="666699"/>
          <w:sz w:val="18"/>
        </w:rPr>
        <w:t>號令修正公布第</w:t>
      </w:r>
      <w:r w:rsidRPr="00ED34F9">
        <w:rPr>
          <w:rFonts w:ascii="Arial Unicode MS" w:hAnsi="Arial Unicode MS" w:hint="eastAsia"/>
          <w:color w:val="666699"/>
          <w:sz w:val="18"/>
        </w:rPr>
        <w:t>2</w:t>
      </w:r>
      <w:r w:rsidRPr="00ED34F9">
        <w:rPr>
          <w:rFonts w:ascii="Arial Unicode MS" w:hAnsi="Arial Unicode MS" w:hint="eastAsia"/>
          <w:color w:val="666699"/>
          <w:sz w:val="18"/>
        </w:rPr>
        <w:t>、</w:t>
      </w:r>
      <w:r w:rsidRPr="00ED34F9">
        <w:rPr>
          <w:rFonts w:ascii="Arial Unicode MS" w:hAnsi="Arial Unicode MS" w:hint="eastAsia"/>
          <w:color w:val="666699"/>
          <w:sz w:val="18"/>
        </w:rPr>
        <w:t>10</w:t>
      </w:r>
      <w:r w:rsidRPr="00ED34F9">
        <w:rPr>
          <w:rFonts w:ascii="Arial Unicode MS" w:hAnsi="Arial Unicode MS" w:hint="eastAsia"/>
          <w:color w:val="666699"/>
          <w:sz w:val="18"/>
        </w:rPr>
        <w:t>、</w:t>
      </w:r>
      <w:r w:rsidRPr="00ED34F9">
        <w:rPr>
          <w:rFonts w:ascii="Arial Unicode MS" w:hAnsi="Arial Unicode MS" w:hint="eastAsia"/>
          <w:color w:val="666699"/>
          <w:sz w:val="18"/>
        </w:rPr>
        <w:t>18</w:t>
      </w:r>
      <w:r w:rsidRPr="00ED34F9">
        <w:rPr>
          <w:rFonts w:ascii="Arial Unicode MS" w:hAnsi="Arial Unicode MS" w:hint="eastAsia"/>
          <w:color w:val="666699"/>
          <w:sz w:val="18"/>
        </w:rPr>
        <w:t>、</w:t>
      </w:r>
      <w:r w:rsidRPr="00ED34F9">
        <w:rPr>
          <w:rFonts w:ascii="Arial Unicode MS" w:hAnsi="Arial Unicode MS" w:hint="eastAsia"/>
          <w:color w:val="666699"/>
          <w:sz w:val="18"/>
        </w:rPr>
        <w:t>20</w:t>
      </w:r>
      <w:r w:rsidRPr="00ED34F9">
        <w:rPr>
          <w:rFonts w:ascii="Arial Unicode MS" w:hAnsi="Arial Unicode MS" w:hint="eastAsia"/>
          <w:color w:val="666699"/>
          <w:sz w:val="18"/>
        </w:rPr>
        <w:t>條條文；並增訂第</w:t>
      </w:r>
      <w:r w:rsidRPr="00ED34F9">
        <w:rPr>
          <w:rFonts w:ascii="Arial Unicode MS" w:hAnsi="Arial Unicode MS" w:hint="eastAsia"/>
          <w:color w:val="666699"/>
          <w:sz w:val="18"/>
        </w:rPr>
        <w:t>6-1</w:t>
      </w:r>
      <w:r w:rsidRPr="00ED34F9">
        <w:rPr>
          <w:rFonts w:ascii="Arial Unicode MS" w:hAnsi="Arial Unicode MS" w:hint="eastAsia"/>
          <w:color w:val="666699"/>
          <w:sz w:val="18"/>
        </w:rPr>
        <w:t>條條文</w:t>
      </w:r>
      <w:r w:rsidR="00586C7E">
        <w:rPr>
          <w:rFonts w:ascii="Arial Unicode MS" w:hAnsi="Arial Unicode MS" w:hint="eastAsia"/>
          <w:color w:val="666699"/>
          <w:sz w:val="18"/>
        </w:rPr>
        <w:t xml:space="preserve">　</w:t>
      </w:r>
      <w:r w:rsidRPr="00ED34F9">
        <w:rPr>
          <w:rFonts w:ascii="Arial Unicode MS" w:hAnsi="Arial Unicode MS" w:hint="eastAsia"/>
          <w:color w:val="666699"/>
          <w:sz w:val="18"/>
        </w:rPr>
        <w:t>中華民國九十一年七月二十九日行政院院臺秘字第</w:t>
      </w:r>
      <w:r w:rsidRPr="00ED34F9">
        <w:rPr>
          <w:rFonts w:ascii="Arial Unicode MS" w:hAnsi="Arial Unicode MS" w:hint="eastAsia"/>
          <w:color w:val="666699"/>
          <w:sz w:val="18"/>
        </w:rPr>
        <w:t>0910038738</w:t>
      </w:r>
      <w:r w:rsidRPr="00ED34F9">
        <w:rPr>
          <w:rFonts w:ascii="Arial Unicode MS" w:hAnsi="Arial Unicode MS" w:hint="eastAsia"/>
          <w:color w:val="666699"/>
          <w:sz w:val="18"/>
        </w:rPr>
        <w:t>號令發布定自九十一年八月一日施行</w:t>
      </w:r>
    </w:p>
    <w:p w:rsidR="00A6011A" w:rsidRPr="00ED34F9" w:rsidRDefault="00E35096" w:rsidP="00E35096">
      <w:pPr>
        <w:ind w:left="142"/>
        <w:jc w:val="both"/>
        <w:rPr>
          <w:rFonts w:ascii="Arial Unicode MS" w:hAnsi="Arial Unicode MS" w:hint="eastAsia"/>
          <w:color w:val="666699"/>
          <w:sz w:val="18"/>
        </w:rPr>
      </w:pPr>
      <w:r w:rsidRPr="00E35096">
        <w:rPr>
          <w:rFonts w:ascii="Arial Unicode MS" w:hAnsi="Arial Unicode MS" w:hint="eastAsia"/>
          <w:b/>
          <w:color w:val="666699"/>
          <w:sz w:val="18"/>
        </w:rPr>
        <w:t>3</w:t>
      </w:r>
      <w:r w:rsidRPr="00E35096">
        <w:rPr>
          <w:rFonts w:ascii="Arial Unicode MS" w:hAnsi="Arial Unicode MS" w:hint="eastAsia"/>
          <w:b/>
          <w:color w:val="666699"/>
          <w:sz w:val="18"/>
        </w:rPr>
        <w:t>‧</w:t>
      </w:r>
      <w:r w:rsidRPr="00E35096">
        <w:rPr>
          <w:rFonts w:ascii="Arial Unicode MS" w:hAnsi="Arial Unicode MS" w:hint="eastAsia"/>
          <w:color w:val="666699"/>
          <w:sz w:val="18"/>
        </w:rPr>
        <w:t>中華民國一百零三年六月十八日總統華總一義字第</w:t>
      </w:r>
      <w:r w:rsidRPr="00E35096">
        <w:rPr>
          <w:rFonts w:ascii="Arial Unicode MS" w:hAnsi="Arial Unicode MS" w:hint="eastAsia"/>
          <w:color w:val="666699"/>
          <w:sz w:val="18"/>
        </w:rPr>
        <w:t>10300093751</w:t>
      </w:r>
      <w:r w:rsidRPr="00E35096">
        <w:rPr>
          <w:rFonts w:ascii="Arial Unicode MS" w:hAnsi="Arial Unicode MS" w:hint="eastAsia"/>
          <w:color w:val="666699"/>
          <w:sz w:val="18"/>
        </w:rPr>
        <w:t>號令公布廢止</w:t>
      </w:r>
    </w:p>
    <w:p w:rsidR="00E11C5F" w:rsidRPr="00ED34F9" w:rsidRDefault="00E11C5F" w:rsidP="00E35096">
      <w:pPr>
        <w:rPr>
          <w:rFonts w:hint="eastAsia"/>
        </w:rPr>
      </w:pPr>
    </w:p>
    <w:p w:rsidR="006E50AA" w:rsidRPr="00E35096" w:rsidRDefault="006E50AA" w:rsidP="002D3449">
      <w:pPr>
        <w:pStyle w:val="1"/>
        <w:snapToGrid w:val="0"/>
        <w:spacing w:before="100" w:beforeAutospacing="1" w:after="100" w:afterAutospacing="1"/>
        <w:textAlignment w:val="auto"/>
        <w:rPr>
          <w:rFonts w:hint="eastAsia"/>
          <w:color w:val="auto"/>
        </w:rPr>
      </w:pPr>
      <w:r w:rsidRPr="00E35096">
        <w:rPr>
          <w:color w:val="auto"/>
        </w:rPr>
        <w:t>【</w:t>
      </w:r>
      <w:r w:rsidRPr="00E35096">
        <w:rPr>
          <w:rFonts w:hint="eastAsia"/>
          <w:color w:val="auto"/>
        </w:rPr>
        <w:t>法規內容</w:t>
      </w:r>
      <w:r w:rsidRPr="00E35096">
        <w:rPr>
          <w:color w:val="auto"/>
        </w:rPr>
        <w:t>】</w:t>
      </w:r>
    </w:p>
    <w:p w:rsidR="00ED34F9" w:rsidRPr="00E35096" w:rsidRDefault="009A6C0D" w:rsidP="00E35096">
      <w:pPr>
        <w:pStyle w:val="2"/>
        <w:rPr>
          <w:rFonts w:hint="eastAsia"/>
        </w:rPr>
      </w:pPr>
      <w:bookmarkStart w:id="2" w:name="a1"/>
      <w:bookmarkEnd w:id="2"/>
      <w:r w:rsidRPr="00E35096">
        <w:rPr>
          <w:rFonts w:hint="eastAsia"/>
        </w:rPr>
        <w:t>第</w:t>
      </w:r>
      <w:r w:rsidRPr="00E35096">
        <w:rPr>
          <w:rFonts w:hint="eastAsia"/>
        </w:rPr>
        <w:t>1</w:t>
      </w:r>
      <w:r w:rsidRPr="00E35096">
        <w:rPr>
          <w:rFonts w:hint="eastAsia"/>
        </w:rPr>
        <w:t>條</w:t>
      </w:r>
      <w:r w:rsidR="00ED34F9" w:rsidRPr="00E35096">
        <w:rPr>
          <w:rFonts w:hint="eastAsia"/>
        </w:rPr>
        <w:t>（職掌）</w:t>
      </w:r>
    </w:p>
    <w:p w:rsidR="00ED34F9" w:rsidRPr="004F572C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4F572C">
        <w:rPr>
          <w:rFonts w:ascii="Arial Unicode MS" w:hAnsi="Arial Unicode MS" w:hint="eastAsia"/>
          <w:color w:val="17365D"/>
        </w:rPr>
        <w:t xml:space="preserve">　　行政院為統籌所屬各機關之人事行政，設人事行政局（以下簡稱本局）。</w:t>
      </w:r>
    </w:p>
    <w:p w:rsidR="00ED34F9" w:rsidRPr="00ED34F9" w:rsidRDefault="00ED34F9" w:rsidP="00ED34F9">
      <w:pPr>
        <w:ind w:left="142"/>
        <w:jc w:val="both"/>
        <w:rPr>
          <w:rFonts w:ascii="Arial Unicode MS" w:hAnsi="Arial Unicode MS" w:hint="eastAsia"/>
          <w:color w:val="666699"/>
        </w:rPr>
      </w:pPr>
      <w:r w:rsidRPr="00ED34F9">
        <w:rPr>
          <w:rFonts w:ascii="Arial Unicode MS" w:hAnsi="Arial Unicode MS" w:hint="eastAsia"/>
          <w:color w:val="666699"/>
        </w:rPr>
        <w:t xml:space="preserve">　　本局有關考銓業務，並受考試院之監督。</w:t>
      </w:r>
    </w:p>
    <w:p w:rsidR="00ED34F9" w:rsidRPr="00ED34F9" w:rsidRDefault="009A6C0D" w:rsidP="00E35096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條</w:t>
      </w:r>
      <w:r w:rsidR="00ED34F9" w:rsidRPr="00ED34F9">
        <w:rPr>
          <w:rFonts w:hint="eastAsia"/>
        </w:rPr>
        <w:t>（各處室之設置）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本局設左列各處、室：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一、企劃處。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二、人力處。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三、考訓處。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四、給與處。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五、地方人事行政處。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六、資訊室。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七、秘書室。</w:t>
      </w:r>
    </w:p>
    <w:p w:rsidR="00ED34F9" w:rsidRPr="00ED34F9" w:rsidRDefault="009A6C0D" w:rsidP="00E35096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條</w:t>
      </w:r>
      <w:r w:rsidR="00ED34F9" w:rsidRPr="00ED34F9">
        <w:rPr>
          <w:rFonts w:hint="eastAsia"/>
        </w:rPr>
        <w:t>（企劃處之職掌）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企劃處掌理左列事項：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一、關於行政院所屬人事行政業務之綜合規劃事項。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二、關於綜合性人事行政法制業務之研究建議事項。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三、關於行政院所屬各級人事機構之設置、變更之擬議及人事人員之派免、遷調、考核、獎懲事項。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四、關於各國人事行政資料之蒐集、編譯事項。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五、其他有關企劃事項。</w:t>
      </w:r>
    </w:p>
    <w:p w:rsidR="00ED34F9" w:rsidRPr="00ED34F9" w:rsidRDefault="009A6C0D" w:rsidP="00E35096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條</w:t>
      </w:r>
      <w:r w:rsidR="00ED34F9" w:rsidRPr="00ED34F9">
        <w:rPr>
          <w:rFonts w:hint="eastAsia"/>
        </w:rPr>
        <w:t>（人力處之職掌）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人力處掌理左列事項：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一、關於行政院所屬各機關之公務人力規劃及人才儲備事項。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二、關於行政院所屬各機關編制及預算員額案件之擬議事項。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三、關於行政院所屬各級行政機關簡任以上人員及公營事業機構首長、董監事派免、遷調之審核事項。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lastRenderedPageBreak/>
        <w:t xml:space="preserve">　　四、關於行政院所屬公務人員任免、級俸、陞遷之研究建議及執行規劃事項。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五、關於行政院所屬各機關考試用人計畫及考試及格人員之分發事項。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六、其他有關行政院所屬各機關員額編制、人員任免之研議事項。</w:t>
      </w:r>
    </w:p>
    <w:p w:rsidR="00ED34F9" w:rsidRPr="00ED34F9" w:rsidRDefault="009A6C0D" w:rsidP="00E35096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條</w:t>
      </w:r>
      <w:r w:rsidR="00ED34F9" w:rsidRPr="00ED34F9">
        <w:rPr>
          <w:rFonts w:hint="eastAsia"/>
        </w:rPr>
        <w:t>（考訓處之職掌）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考訓處掌理左列事項：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一、關於行政院所屬公務人員考績、考成、考核、獎懲之研究建議及執行規劃事項。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二、關於行政院所屬公務人員訓練及進修之協調、審議及執行規劃事項。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三、關於行政院所屬公務人員勳獎、榮典、褒揚、表揚、激勵之擬議及執行事項。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四、關於行政院所屬公務人員懲處、停職、復職、免職之擬議及執行事項。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五、關於行政院所屬公務人員服務、差勤之研究建議及辦公時間之擬議執行事項。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六、其他有關行政院所屬公務人員考勤及訓練之執行事項。</w:t>
      </w:r>
    </w:p>
    <w:p w:rsidR="00ED34F9" w:rsidRPr="00ED34F9" w:rsidRDefault="009A6C0D" w:rsidP="00E35096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ED34F9" w:rsidRPr="00ED34F9">
        <w:rPr>
          <w:rFonts w:hint="eastAsia"/>
        </w:rPr>
        <w:t>（給與處之職掌）</w:t>
      </w:r>
    </w:p>
    <w:p w:rsidR="00ED34F9" w:rsidRPr="00BD6143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BD6143">
        <w:rPr>
          <w:rFonts w:ascii="Arial Unicode MS" w:hAnsi="Arial Unicode MS" w:hint="eastAsia"/>
          <w:color w:val="17365D"/>
        </w:rPr>
        <w:t xml:space="preserve">　　給與處掌理左列事項：</w:t>
      </w:r>
    </w:p>
    <w:p w:rsidR="00ED34F9" w:rsidRPr="00BD6143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BD6143">
        <w:rPr>
          <w:rFonts w:ascii="Arial Unicode MS" w:hAnsi="Arial Unicode MS" w:hint="eastAsia"/>
          <w:color w:val="17365D"/>
        </w:rPr>
        <w:t xml:space="preserve">　　一、關於員工給與之規劃及擬議事項。</w:t>
      </w:r>
    </w:p>
    <w:p w:rsidR="00ED34F9" w:rsidRPr="00BD6143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BD6143">
        <w:rPr>
          <w:rFonts w:ascii="Arial Unicode MS" w:hAnsi="Arial Unicode MS" w:hint="eastAsia"/>
          <w:color w:val="17365D"/>
        </w:rPr>
        <w:t xml:space="preserve">　　二、關於政務官退職酬勞金給與之擬議及發放事項。</w:t>
      </w:r>
    </w:p>
    <w:p w:rsidR="00ED34F9" w:rsidRPr="00BD6143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BD6143">
        <w:rPr>
          <w:rFonts w:ascii="Arial Unicode MS" w:hAnsi="Arial Unicode MS" w:hint="eastAsia"/>
          <w:color w:val="17365D"/>
        </w:rPr>
        <w:t xml:space="preserve">　　三、關於行政院所屬公務人員退休、撫卹之核轉及研究建議事項。</w:t>
      </w:r>
    </w:p>
    <w:p w:rsidR="00ED34F9" w:rsidRPr="00BD6143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BD6143">
        <w:rPr>
          <w:rFonts w:ascii="Arial Unicode MS" w:hAnsi="Arial Unicode MS" w:hint="eastAsia"/>
          <w:color w:val="17365D"/>
        </w:rPr>
        <w:t xml:space="preserve">　　四、關於行政院所屬公務人員資遣案件之擬議事項。</w:t>
      </w:r>
    </w:p>
    <w:p w:rsidR="00ED34F9" w:rsidRPr="00BD6143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BD6143">
        <w:rPr>
          <w:rFonts w:ascii="Arial Unicode MS" w:hAnsi="Arial Unicode MS" w:hint="eastAsia"/>
          <w:color w:val="17365D"/>
        </w:rPr>
        <w:t xml:space="preserve">　　五、關於行政院所屬公務人員保險業務之研究建議事項。</w:t>
      </w:r>
    </w:p>
    <w:p w:rsidR="00ED34F9" w:rsidRPr="00BD6143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BD6143">
        <w:rPr>
          <w:rFonts w:ascii="Arial Unicode MS" w:hAnsi="Arial Unicode MS" w:hint="eastAsia"/>
          <w:color w:val="17365D"/>
        </w:rPr>
        <w:t xml:space="preserve">　　六、其他有關員工給與之規劃及擬議事項。</w:t>
      </w:r>
    </w:p>
    <w:p w:rsidR="00ED34F9" w:rsidRPr="00ED34F9" w:rsidRDefault="009A6C0D" w:rsidP="00E35096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6</w:t>
      </w:r>
      <w:r>
        <w:rPr>
          <w:rFonts w:hint="eastAsia"/>
        </w:rPr>
        <w:t>條</w:t>
      </w:r>
      <w:r w:rsidR="00ED34F9" w:rsidRPr="00ED34F9">
        <w:rPr>
          <w:rFonts w:hint="eastAsia"/>
        </w:rPr>
        <w:t>之</w:t>
      </w:r>
      <w:r>
        <w:rPr>
          <w:rFonts w:hint="eastAsia"/>
        </w:rPr>
        <w:t>1</w:t>
      </w:r>
      <w:r w:rsidR="00ED34F9" w:rsidRPr="00ED34F9">
        <w:rPr>
          <w:rFonts w:hint="eastAsia"/>
        </w:rPr>
        <w:t>（地方人事行政處之職掌）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地方人事行政處掌理各縣（市）政府及其所屬機關、學校、鄉（鎮、市）公所及其所屬機關、縣（市）議會及鄉（鎮、市）民代表會之人事行政事項。</w:t>
      </w:r>
    </w:p>
    <w:p w:rsidR="00ED34F9" w:rsidRPr="00ED34F9" w:rsidRDefault="009A6C0D" w:rsidP="00E35096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條</w:t>
      </w:r>
      <w:r w:rsidR="00ED34F9" w:rsidRPr="00ED34F9">
        <w:rPr>
          <w:rFonts w:hint="eastAsia"/>
        </w:rPr>
        <w:t>（資訊室之職掌）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資訊室掌理左列事項：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一、關於行政院所屬各機關人事行政資訊系統之統籌規劃及推動事項。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二、關於行政院所屬各機關人事資料之蒐集、彙整及運用事項。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三、關於本局資訊業務之規劃、設計及辦公室自動化之推動事項。</w:t>
      </w:r>
    </w:p>
    <w:p w:rsidR="00ED34F9" w:rsidRPr="00ED34F9" w:rsidRDefault="009A6C0D" w:rsidP="00E35096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條</w:t>
      </w:r>
      <w:r w:rsidR="00ED34F9" w:rsidRPr="00ED34F9">
        <w:rPr>
          <w:rFonts w:hint="eastAsia"/>
        </w:rPr>
        <w:t>（秘書室之職掌）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秘書室掌理議事、文書、印信、庶務、出納、公共關係及不屬於各處、室事項。</w:t>
      </w:r>
    </w:p>
    <w:p w:rsidR="00ED34F9" w:rsidRPr="00ED34F9" w:rsidRDefault="009A6C0D" w:rsidP="00E35096">
      <w:pPr>
        <w:pStyle w:val="2"/>
        <w:rPr>
          <w:rFonts w:hint="eastAsia"/>
        </w:rPr>
      </w:pPr>
      <w:bookmarkStart w:id="3" w:name="a9"/>
      <w:bookmarkEnd w:id="3"/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ED34F9" w:rsidRPr="00ED34F9">
        <w:rPr>
          <w:rFonts w:hint="eastAsia"/>
        </w:rPr>
        <w:t>（局長、副局長之設置及職權）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本局置局長一人，特任。綜理局務，並指揮、監督所屬職員及機關；副局長二人，其中一人職務比照簡任第十四職等，另一人職務列簡任第十四職等，襄理局務。</w:t>
      </w:r>
    </w:p>
    <w:p w:rsidR="00ED34F9" w:rsidRPr="00ED34F9" w:rsidRDefault="009A6C0D" w:rsidP="00E35096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條</w:t>
      </w:r>
      <w:r w:rsidR="00ED34F9" w:rsidRPr="00ED34F9">
        <w:rPr>
          <w:rFonts w:hint="eastAsia"/>
        </w:rPr>
        <w:t>（人員編制及職等）</w:t>
      </w:r>
    </w:p>
    <w:p w:rsidR="00ED34F9" w:rsidRPr="004F572C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4F572C">
        <w:rPr>
          <w:rFonts w:ascii="Arial Unicode MS" w:hAnsi="Arial Unicode MS" w:hint="eastAsia"/>
          <w:color w:val="17365D"/>
        </w:rPr>
        <w:t xml:space="preserve">　　本局置主任秘書一人，參事七人，處長五人，職務均列簡任第十二職等；副處長五人，職務列簡任第十一職等；室主任二人，專門委員十人至十四人，職務均列簡任第十職等至第十一職等；科長三十一人至三十七人，職務列薦任第九職等；秘書五人至七人，視察九人至十九人，職務均列薦任第八職等至第九職等，其中秘書三人，視察八人，職務得列簡任第十職等至第十一職等；專員二十八人至五十二人，分析師三人，職務均列</w:t>
      </w:r>
      <w:r w:rsidRPr="004F572C">
        <w:rPr>
          <w:rFonts w:ascii="Arial Unicode MS" w:hAnsi="Arial Unicode MS" w:hint="eastAsia"/>
          <w:color w:val="17365D"/>
        </w:rPr>
        <w:lastRenderedPageBreak/>
        <w:t>薦任第七職等至第九職等；設計師二人至四人，管理師二人，職務均列薦任第六職等至第八職等；科員三十七人至八十五人，職務列委任第五職等或薦任第六職等至第七職等；助理設計師二人，助理管理師一人，助理員四人至十人，職務均列委任第四職等至第五職等，其中助理設計師一人，助理員五人，職務得列薦任第六職等；辦事員十二人至十六人，職務列委任第三職等至第五職等；書記十九人至三十一人，職務列委任第一職等至第三職等。</w:t>
      </w:r>
    </w:p>
    <w:p w:rsidR="00ED34F9" w:rsidRPr="00ED34F9" w:rsidRDefault="00ED34F9" w:rsidP="00ED34F9">
      <w:pPr>
        <w:ind w:left="142"/>
        <w:jc w:val="both"/>
        <w:rPr>
          <w:rFonts w:ascii="Arial Unicode MS" w:hAnsi="Arial Unicode MS" w:hint="eastAsia"/>
          <w:color w:val="666699"/>
        </w:rPr>
      </w:pPr>
      <w:r w:rsidRPr="00ED34F9">
        <w:rPr>
          <w:rFonts w:ascii="Arial Unicode MS" w:hAnsi="Arial Unicode MS" w:hint="eastAsia"/>
          <w:color w:val="666699"/>
        </w:rPr>
        <w:t xml:space="preserve">　　本條例修正施行前，本局及原臺灣省政府公務人員住宅輔建暨福利互助委員會原依</w:t>
      </w:r>
      <w:hyperlink r:id="rId12" w:history="1">
        <w:r w:rsidRPr="00BD6143">
          <w:rPr>
            <w:rStyle w:val="a3"/>
            <w:rFonts w:ascii="Arial Unicode MS" w:hAnsi="Arial Unicode MS" w:hint="eastAsia"/>
          </w:rPr>
          <w:t>雇員管理規則</w:t>
        </w:r>
      </w:hyperlink>
      <w:r w:rsidRPr="00ED34F9">
        <w:rPr>
          <w:rFonts w:ascii="Arial Unicode MS" w:hAnsi="Arial Unicode MS" w:hint="eastAsia"/>
          <w:color w:val="666699"/>
        </w:rPr>
        <w:t>僱用之現職雇員，其未具公務人員任用資格者，得占用前項書記職缺繼續僱用至離職時為止。</w:t>
      </w:r>
    </w:p>
    <w:p w:rsidR="00ED34F9" w:rsidRPr="00ED34F9" w:rsidRDefault="009A6C0D" w:rsidP="00E35096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11</w:t>
      </w:r>
      <w:r>
        <w:rPr>
          <w:rFonts w:hint="eastAsia"/>
        </w:rPr>
        <w:t>條</w:t>
      </w:r>
      <w:r w:rsidR="00ED34F9" w:rsidRPr="00ED34F9">
        <w:rPr>
          <w:rFonts w:hint="eastAsia"/>
        </w:rPr>
        <w:t>（人事室之編制）</w:t>
      </w:r>
    </w:p>
    <w:p w:rsidR="00ED34F9" w:rsidRPr="004F572C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4F572C">
        <w:rPr>
          <w:rFonts w:ascii="Arial Unicode MS" w:hAnsi="Arial Unicode MS" w:hint="eastAsia"/>
          <w:color w:val="17365D"/>
        </w:rPr>
        <w:t xml:space="preserve">　　本局設人事室，置主任一人，職務列簡任第十職等至第十一職等；依法辦理人事管理事項。</w:t>
      </w:r>
    </w:p>
    <w:p w:rsidR="00ED34F9" w:rsidRPr="00ED34F9" w:rsidRDefault="00ED34F9" w:rsidP="00ED34F9">
      <w:pPr>
        <w:ind w:left="142"/>
        <w:jc w:val="both"/>
        <w:rPr>
          <w:rFonts w:ascii="Arial Unicode MS" w:hAnsi="Arial Unicode MS" w:hint="eastAsia"/>
          <w:color w:val="666699"/>
        </w:rPr>
      </w:pPr>
      <w:r w:rsidRPr="00ED34F9">
        <w:rPr>
          <w:rFonts w:ascii="Arial Unicode MS" w:hAnsi="Arial Unicode MS" w:hint="eastAsia"/>
          <w:color w:val="666699"/>
        </w:rPr>
        <w:t xml:space="preserve">　　前項所需工作人員，應就本條例所定員額內派充之。</w:t>
      </w:r>
    </w:p>
    <w:p w:rsidR="00ED34F9" w:rsidRPr="00ED34F9" w:rsidRDefault="009A6C0D" w:rsidP="00E35096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條</w:t>
      </w:r>
      <w:r w:rsidR="00ED34F9" w:rsidRPr="00ED34F9">
        <w:rPr>
          <w:rFonts w:hint="eastAsia"/>
        </w:rPr>
        <w:t>（會計室之編制）</w:t>
      </w:r>
    </w:p>
    <w:p w:rsidR="00ED34F9" w:rsidRPr="004F572C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4F572C">
        <w:rPr>
          <w:rFonts w:ascii="Arial Unicode MS" w:hAnsi="Arial Unicode MS" w:hint="eastAsia"/>
          <w:color w:val="17365D"/>
        </w:rPr>
        <w:t xml:space="preserve">　　本局設會計室，置會計主任一人，職務列簡任第十職等至第十一職等；依法辦理歲計、會計及兼辦統計事項。</w:t>
      </w:r>
    </w:p>
    <w:p w:rsidR="00ED34F9" w:rsidRPr="00ED34F9" w:rsidRDefault="00ED34F9" w:rsidP="00ED34F9">
      <w:pPr>
        <w:ind w:left="142"/>
        <w:jc w:val="both"/>
        <w:rPr>
          <w:rFonts w:ascii="Arial Unicode MS" w:hAnsi="Arial Unicode MS" w:hint="eastAsia"/>
          <w:color w:val="666699"/>
        </w:rPr>
      </w:pPr>
      <w:r w:rsidRPr="00ED34F9">
        <w:rPr>
          <w:rFonts w:ascii="Arial Unicode MS" w:hAnsi="Arial Unicode MS" w:hint="eastAsia"/>
          <w:color w:val="666699"/>
        </w:rPr>
        <w:t xml:space="preserve">　　前項所需工作人員，應就本條例所定員額內派充之。</w:t>
      </w:r>
    </w:p>
    <w:p w:rsidR="00ED34F9" w:rsidRPr="00ED34F9" w:rsidRDefault="009A6C0D" w:rsidP="00E35096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條</w:t>
      </w:r>
      <w:r w:rsidR="00ED34F9" w:rsidRPr="00ED34F9">
        <w:rPr>
          <w:rFonts w:hint="eastAsia"/>
        </w:rPr>
        <w:t>（政風室之編制）</w:t>
      </w:r>
    </w:p>
    <w:p w:rsidR="00ED34F9" w:rsidRPr="004F572C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4F572C">
        <w:rPr>
          <w:rFonts w:ascii="Arial Unicode MS" w:hAnsi="Arial Unicode MS" w:hint="eastAsia"/>
          <w:color w:val="17365D"/>
        </w:rPr>
        <w:t xml:space="preserve">　　本局設政風室，置主任一人，職務列簡任第十職等至第十一職等；依法辦理政風事項。</w:t>
      </w:r>
    </w:p>
    <w:p w:rsidR="00ED34F9" w:rsidRPr="00ED34F9" w:rsidRDefault="00ED34F9" w:rsidP="00ED34F9">
      <w:pPr>
        <w:ind w:left="142"/>
        <w:jc w:val="both"/>
        <w:rPr>
          <w:rFonts w:ascii="Arial Unicode MS" w:hAnsi="Arial Unicode MS" w:hint="eastAsia"/>
          <w:color w:val="666699"/>
        </w:rPr>
      </w:pPr>
      <w:r w:rsidRPr="00ED34F9">
        <w:rPr>
          <w:rFonts w:ascii="Arial Unicode MS" w:hAnsi="Arial Unicode MS" w:hint="eastAsia"/>
          <w:color w:val="666699"/>
        </w:rPr>
        <w:t xml:space="preserve">　　前項所需工作人員，應就本條例所定員額內派充之。</w:t>
      </w:r>
    </w:p>
    <w:p w:rsidR="00ED34F9" w:rsidRPr="00ED34F9" w:rsidRDefault="009A6C0D" w:rsidP="00E35096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14</w:t>
      </w:r>
      <w:r>
        <w:rPr>
          <w:rFonts w:hint="eastAsia"/>
        </w:rPr>
        <w:t>條</w:t>
      </w:r>
      <w:r w:rsidR="00ED34F9" w:rsidRPr="00ED34F9">
        <w:rPr>
          <w:rFonts w:hint="eastAsia"/>
        </w:rPr>
        <w:t>（職務職系選用依據）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</w:t>
      </w:r>
      <w:hyperlink w:anchor="a9" w:history="1">
        <w:r w:rsidRPr="00E57CF9">
          <w:rPr>
            <w:rStyle w:val="a3"/>
            <w:rFonts w:hint="eastAsia"/>
          </w:rPr>
          <w:t>第九條</w:t>
        </w:r>
      </w:hyperlink>
      <w:r w:rsidRPr="00E57CF9">
        <w:rPr>
          <w:rFonts w:ascii="Arial Unicode MS" w:hAnsi="Arial Unicode MS" w:hint="eastAsia"/>
          <w:color w:val="17365D"/>
        </w:rPr>
        <w:t>至第十三條所定各職稱列有官等職等人員，其職務所適用之職系，依公務人員任用</w:t>
      </w:r>
      <w:r w:rsidRPr="00E57CF9">
        <w:rPr>
          <w:rFonts w:ascii="Arial Unicode MS" w:hAnsi="Arial Unicode MS" w:hint="eastAsia"/>
          <w:color w:val="17365D"/>
        </w:rPr>
        <w:t>法</w:t>
      </w:r>
      <w:hyperlink r:id="rId13" w:anchor="a8" w:history="1">
        <w:r w:rsidRPr="00E57CF9">
          <w:rPr>
            <w:rStyle w:val="a3"/>
            <w:rFonts w:ascii="Arial Unicode MS" w:hAnsi="Arial Unicode MS" w:hint="eastAsia"/>
            <w:color w:val="17365D"/>
          </w:rPr>
          <w:t>第八</w:t>
        </w:r>
        <w:r w:rsidRPr="00E57CF9">
          <w:rPr>
            <w:rStyle w:val="a3"/>
            <w:rFonts w:ascii="Arial Unicode MS" w:hAnsi="Arial Unicode MS" w:hint="eastAsia"/>
            <w:color w:val="17365D"/>
          </w:rPr>
          <w:t>條</w:t>
        </w:r>
      </w:hyperlink>
      <w:r w:rsidRPr="00E57CF9">
        <w:rPr>
          <w:rFonts w:ascii="Arial Unicode MS" w:hAnsi="Arial Unicode MS" w:hint="eastAsia"/>
          <w:color w:val="17365D"/>
        </w:rPr>
        <w:t>之規定，就有關職系選用之。</w:t>
      </w:r>
    </w:p>
    <w:p w:rsidR="00ED34F9" w:rsidRPr="00ED34F9" w:rsidRDefault="009A6C0D" w:rsidP="00E35096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15</w:t>
      </w:r>
      <w:r>
        <w:rPr>
          <w:rFonts w:hint="eastAsia"/>
        </w:rPr>
        <w:t>條</w:t>
      </w:r>
      <w:r w:rsidR="00ED34F9" w:rsidRPr="00ED34F9">
        <w:rPr>
          <w:rFonts w:hint="eastAsia"/>
        </w:rPr>
        <w:t>（各種委員會之設置）</w:t>
      </w:r>
    </w:p>
    <w:p w:rsidR="00ED34F9" w:rsidRPr="004F572C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4F572C">
        <w:rPr>
          <w:rFonts w:ascii="Arial Unicode MS" w:hAnsi="Arial Unicode MS" w:hint="eastAsia"/>
          <w:color w:val="17365D"/>
        </w:rPr>
        <w:t xml:space="preserve">　　本局因業務需要，得報請行政院核准，設各種委員會，聘請專家學者或指派有關人員為委員，均為無給職。</w:t>
      </w:r>
    </w:p>
    <w:p w:rsidR="00ED34F9" w:rsidRPr="00ED34F9" w:rsidRDefault="00ED34F9" w:rsidP="00ED34F9">
      <w:pPr>
        <w:ind w:left="142"/>
        <w:jc w:val="both"/>
        <w:rPr>
          <w:rFonts w:ascii="Arial Unicode MS" w:hAnsi="Arial Unicode MS" w:hint="eastAsia"/>
          <w:color w:val="666699"/>
        </w:rPr>
      </w:pPr>
      <w:r w:rsidRPr="00ED34F9">
        <w:rPr>
          <w:rFonts w:ascii="Arial Unicode MS" w:hAnsi="Arial Unicode MS" w:hint="eastAsia"/>
          <w:color w:val="666699"/>
        </w:rPr>
        <w:t xml:space="preserve">　　前項所需工作人員，應就本條例所定員額內派充之。</w:t>
      </w:r>
    </w:p>
    <w:p w:rsidR="00ED34F9" w:rsidRPr="00ED34F9" w:rsidRDefault="009A6C0D" w:rsidP="00E35096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條</w:t>
      </w:r>
      <w:r w:rsidR="00ED34F9" w:rsidRPr="00ED34F9">
        <w:rPr>
          <w:rFonts w:hint="eastAsia"/>
        </w:rPr>
        <w:t>（顧問之設置）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本局因業務需要，經行政院核准，得聘用顧問三人至五人。</w:t>
      </w:r>
    </w:p>
    <w:p w:rsidR="00ED34F9" w:rsidRPr="00ED34F9" w:rsidRDefault="009A6C0D" w:rsidP="00E35096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17</w:t>
      </w:r>
      <w:r>
        <w:rPr>
          <w:rFonts w:hint="eastAsia"/>
        </w:rPr>
        <w:t>條</w:t>
      </w:r>
      <w:r w:rsidR="00ED34F9" w:rsidRPr="00ED34F9">
        <w:rPr>
          <w:rFonts w:hint="eastAsia"/>
        </w:rPr>
        <w:t>（報送銓敘部備查之人事）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行政院所屬各級人事人員派免、遷調核定後，均報送銓敘部備查。</w:t>
      </w:r>
    </w:p>
    <w:p w:rsidR="00ED34F9" w:rsidRPr="00ED34F9" w:rsidRDefault="009A6C0D" w:rsidP="00E35096">
      <w:pPr>
        <w:pStyle w:val="2"/>
        <w:rPr>
          <w:rFonts w:hint="eastAsia"/>
        </w:rPr>
      </w:pPr>
      <w:bookmarkStart w:id="4" w:name="a18"/>
      <w:bookmarkEnd w:id="4"/>
      <w:r>
        <w:rPr>
          <w:rFonts w:hint="eastAsia"/>
        </w:rPr>
        <w:t>第</w:t>
      </w:r>
      <w:r>
        <w:rPr>
          <w:rFonts w:hint="eastAsia"/>
        </w:rPr>
        <w:t>18</w:t>
      </w:r>
      <w:r>
        <w:rPr>
          <w:rFonts w:hint="eastAsia"/>
        </w:rPr>
        <w:t>條</w:t>
      </w:r>
      <w:r w:rsidR="00ED34F9" w:rsidRPr="00ED34F9">
        <w:rPr>
          <w:rFonts w:hint="eastAsia"/>
        </w:rPr>
        <w:t>（公務人員住宅及福利委員會、公務人力發展中心及地方行研習中心之設置）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本局設公務人員住宅及福利委員會、公務人力發展中心及地方行政研習中心；其組織均以</w:t>
      </w:r>
      <w:hyperlink r:id="rId14" w:history="1">
        <w:r w:rsidRPr="008F3B32">
          <w:rPr>
            <w:rStyle w:val="a3"/>
            <w:rFonts w:hint="eastAsia"/>
          </w:rPr>
          <w:t>法</w:t>
        </w:r>
        <w:r w:rsidRPr="008F3B32">
          <w:rPr>
            <w:rStyle w:val="a3"/>
            <w:rFonts w:hint="eastAsia"/>
          </w:rPr>
          <w:t>律</w:t>
        </w:r>
      </w:hyperlink>
      <w:r w:rsidRPr="00E57CF9">
        <w:rPr>
          <w:rFonts w:ascii="Arial Unicode MS" w:hAnsi="Arial Unicode MS" w:hint="eastAsia"/>
          <w:color w:val="17365D"/>
        </w:rPr>
        <w:t>定之。</w:t>
      </w:r>
    </w:p>
    <w:p w:rsidR="00ED34F9" w:rsidRPr="00ED34F9" w:rsidRDefault="009A6C0D" w:rsidP="00E35096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19</w:t>
      </w:r>
      <w:r>
        <w:rPr>
          <w:rFonts w:hint="eastAsia"/>
        </w:rPr>
        <w:t>條</w:t>
      </w:r>
      <w:r w:rsidR="00ED34F9" w:rsidRPr="00ED34F9">
        <w:rPr>
          <w:rFonts w:hint="eastAsia"/>
        </w:rPr>
        <w:t>（辦事細則）</w:t>
      </w:r>
    </w:p>
    <w:p w:rsidR="00ED34F9" w:rsidRPr="00E57CF9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E57CF9">
        <w:rPr>
          <w:rFonts w:ascii="Arial Unicode MS" w:hAnsi="Arial Unicode MS" w:hint="eastAsia"/>
          <w:color w:val="17365D"/>
        </w:rPr>
        <w:t xml:space="preserve">　　本局辦事細則，由本局擬訂，報請行政院核定之。</w:t>
      </w:r>
    </w:p>
    <w:p w:rsidR="00ED34F9" w:rsidRPr="00ED34F9" w:rsidRDefault="009A6C0D" w:rsidP="00E35096">
      <w:pPr>
        <w:pStyle w:val="2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20</w:t>
      </w:r>
      <w:r>
        <w:rPr>
          <w:rFonts w:hint="eastAsia"/>
        </w:rPr>
        <w:t>條</w:t>
      </w:r>
      <w:r w:rsidR="00ED34F9" w:rsidRPr="00ED34F9">
        <w:rPr>
          <w:rFonts w:hint="eastAsia"/>
        </w:rPr>
        <w:t>（施行日）</w:t>
      </w:r>
    </w:p>
    <w:p w:rsidR="00ED34F9" w:rsidRPr="004F572C" w:rsidRDefault="00ED34F9" w:rsidP="00ED34F9">
      <w:pPr>
        <w:ind w:left="142"/>
        <w:jc w:val="both"/>
        <w:rPr>
          <w:rFonts w:ascii="Arial Unicode MS" w:hAnsi="Arial Unicode MS" w:hint="eastAsia"/>
          <w:color w:val="17365D"/>
        </w:rPr>
      </w:pPr>
      <w:r w:rsidRPr="004F572C">
        <w:rPr>
          <w:rFonts w:ascii="Arial Unicode MS" w:hAnsi="Arial Unicode MS" w:hint="eastAsia"/>
          <w:color w:val="17365D"/>
        </w:rPr>
        <w:t xml:space="preserve">　　本條例自公布日施行。</w:t>
      </w:r>
    </w:p>
    <w:p w:rsidR="00ED34F9" w:rsidRPr="00ED34F9" w:rsidRDefault="00ED34F9" w:rsidP="00ED34F9">
      <w:pPr>
        <w:ind w:left="142"/>
        <w:jc w:val="both"/>
        <w:rPr>
          <w:rFonts w:ascii="Arial Unicode MS" w:hAnsi="Arial Unicode MS" w:hint="eastAsia"/>
          <w:color w:val="666699"/>
        </w:rPr>
      </w:pPr>
      <w:r w:rsidRPr="00ED34F9">
        <w:rPr>
          <w:rFonts w:ascii="Arial Unicode MS" w:hAnsi="Arial Unicode MS" w:hint="eastAsia"/>
          <w:color w:val="666699"/>
        </w:rPr>
        <w:t xml:space="preserve">　　本條例修正條文施行日期，由行政院以命令定之。</w:t>
      </w:r>
    </w:p>
    <w:p w:rsidR="00E11C5F" w:rsidRPr="00E11C5F" w:rsidRDefault="00E11C5F" w:rsidP="00E11C5F">
      <w:pPr>
        <w:ind w:left="142"/>
        <w:jc w:val="both"/>
        <w:rPr>
          <w:rFonts w:ascii="Arial Unicode MS" w:hAnsi="Arial Unicode MS" w:hint="eastAsia"/>
          <w:color w:val="666699"/>
        </w:rPr>
      </w:pPr>
    </w:p>
    <w:p w:rsidR="00E11C5F" w:rsidRPr="00E11C5F" w:rsidRDefault="00E11C5F" w:rsidP="00E11C5F">
      <w:pPr>
        <w:ind w:left="142"/>
        <w:jc w:val="both"/>
        <w:rPr>
          <w:rFonts w:ascii="Arial Unicode MS" w:hAnsi="Arial Unicode MS" w:hint="eastAsia"/>
          <w:color w:val="666699"/>
        </w:rPr>
      </w:pPr>
    </w:p>
    <w:p w:rsidR="00BF26BB" w:rsidRPr="005A5315" w:rsidRDefault="00BF26BB" w:rsidP="00BF26BB">
      <w:pPr>
        <w:jc w:val="right"/>
        <w:rPr>
          <w:rStyle w:val="a3"/>
          <w:rFonts w:ascii="Arial Unicode MS" w:hAnsi="Arial Unicode MS" w:hint="eastAsia"/>
          <w:sz w:val="18"/>
          <w:u w:val="none"/>
        </w:rPr>
      </w:pPr>
      <w:r w:rsidRPr="005A5315">
        <w:rPr>
          <w:rFonts w:ascii="Arial Unicode MS" w:hAnsi="Arial Unicode MS"/>
          <w:color w:val="000080"/>
          <w:sz w:val="18"/>
        </w:rPr>
        <w:fldChar w:fldCharType="begin"/>
      </w:r>
      <w:r w:rsidRPr="005A5315">
        <w:rPr>
          <w:rFonts w:ascii="Arial Unicode MS" w:hAnsi="Arial Unicode MS"/>
          <w:color w:val="000080"/>
          <w:sz w:val="18"/>
        </w:rPr>
        <w:instrText xml:space="preserve"> HYPERLINK  \l "top" </w:instrText>
      </w:r>
      <w:r w:rsidRPr="005A5315">
        <w:rPr>
          <w:rFonts w:ascii="Arial Unicode MS" w:hAnsi="Arial Unicode MS"/>
          <w:color w:val="000080"/>
          <w:sz w:val="18"/>
        </w:rPr>
      </w:r>
      <w:r w:rsidRPr="005A5315">
        <w:rPr>
          <w:rFonts w:ascii="Arial Unicode MS" w:hAnsi="Arial Unicode MS"/>
          <w:color w:val="000080"/>
          <w:sz w:val="18"/>
        </w:rPr>
        <w:fldChar w:fldCharType="separate"/>
      </w:r>
      <w:r w:rsidR="008B41D0" w:rsidRPr="005A5315">
        <w:rPr>
          <w:rStyle w:val="a3"/>
          <w:rFonts w:ascii="Arial Unicode MS" w:hAnsi="Arial Unicode MS" w:hint="eastAsia"/>
          <w:u w:val="none"/>
        </w:rPr>
        <w:t xml:space="preserve">　　　　　　　　　　　　　　　　　　　　　　　　　　　　　　　　　　　　　　　　　　　　　</w:t>
      </w:r>
      <w:r w:rsidRPr="005A5315">
        <w:rPr>
          <w:rStyle w:val="a3"/>
          <w:rFonts w:ascii="Arial Unicode MS" w:hAnsi="Arial Unicode MS"/>
          <w:sz w:val="18"/>
        </w:rPr>
        <w:fldChar w:fldCharType="begin"/>
      </w:r>
      <w:r w:rsidRPr="005A5315">
        <w:rPr>
          <w:rStyle w:val="a3"/>
          <w:rFonts w:ascii="Arial Unicode MS" w:hAnsi="Arial Unicode MS"/>
          <w:sz w:val="18"/>
        </w:rPr>
        <w:instrText xml:space="preserve"> HYPERLINK  \l "top" </w:instrText>
      </w:r>
      <w:r w:rsidRPr="005A5315">
        <w:rPr>
          <w:rFonts w:ascii="Arial Unicode MS" w:hAnsi="Arial Unicode MS"/>
          <w:color w:val="808000"/>
          <w:sz w:val="18"/>
          <w:szCs w:val="20"/>
          <w:u w:val="single"/>
        </w:rPr>
      </w:r>
      <w:r w:rsidRPr="005A5315">
        <w:rPr>
          <w:rStyle w:val="a3"/>
          <w:rFonts w:ascii="Arial Unicode MS" w:hAnsi="Arial Unicode MS"/>
          <w:sz w:val="18"/>
        </w:rPr>
        <w:fldChar w:fldCharType="separate"/>
      </w:r>
      <w:r w:rsidRPr="005A5315">
        <w:rPr>
          <w:rStyle w:val="a3"/>
          <w:rFonts w:ascii="Arial Unicode MS" w:hAnsi="Arial Unicode MS" w:hint="eastAsia"/>
          <w:sz w:val="18"/>
        </w:rPr>
        <w:t>回</w:t>
      </w:r>
      <w:r w:rsidRPr="005A5315">
        <w:rPr>
          <w:rStyle w:val="a3"/>
          <w:rFonts w:ascii="Arial Unicode MS" w:hAnsi="Arial Unicode MS" w:hint="eastAsia"/>
          <w:sz w:val="18"/>
        </w:rPr>
        <w:t>首</w:t>
      </w:r>
      <w:r w:rsidRPr="005A5315">
        <w:rPr>
          <w:rStyle w:val="a3"/>
          <w:rFonts w:ascii="Arial Unicode MS" w:hAnsi="Arial Unicode MS" w:hint="eastAsia"/>
          <w:sz w:val="18"/>
        </w:rPr>
        <w:t>頁</w:t>
      </w:r>
      <w:r w:rsidRPr="005A5315">
        <w:rPr>
          <w:rStyle w:val="a3"/>
          <w:rFonts w:ascii="Arial Unicode MS" w:hAnsi="Arial Unicode MS"/>
          <w:sz w:val="18"/>
        </w:rPr>
        <w:fldChar w:fldCharType="end"/>
      </w:r>
      <w:r w:rsidRPr="005A5315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BF26BB" w:rsidRPr="005A5315" w:rsidRDefault="00BF26BB" w:rsidP="00922B91">
      <w:pPr>
        <w:ind w:leftChars="50" w:left="100"/>
        <w:jc w:val="both"/>
        <w:rPr>
          <w:rFonts w:ascii="Arial Unicode MS" w:hAnsi="Arial Unicode MS" w:cs="新細明體" w:hint="eastAsia"/>
          <w:color w:val="808080"/>
          <w:sz w:val="18"/>
          <w:szCs w:val="18"/>
        </w:rPr>
      </w:pPr>
      <w:r w:rsidRPr="005A5315">
        <w:rPr>
          <w:rFonts w:ascii="Arial Unicode MS" w:hAnsi="Arial Unicode MS"/>
          <w:color w:val="000080"/>
          <w:sz w:val="18"/>
        </w:rPr>
        <w:fldChar w:fldCharType="end"/>
      </w:r>
      <w:r w:rsidRPr="005A5315"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15" w:history="1">
        <w:r w:rsidRPr="005A5315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總統府公報</w:t>
        </w:r>
      </w:hyperlink>
      <w:r w:rsidRPr="005A5315"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16" w:history="1">
        <w:r w:rsidRPr="005A5315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立法院</w:t>
        </w:r>
      </w:hyperlink>
      <w:r w:rsidRPr="005A5315"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17" w:history="1">
        <w:r w:rsidRPr="005A5315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法務部資訊網</w:t>
        </w:r>
      </w:hyperlink>
      <w:r w:rsidRPr="005A5315"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 w:rsidR="00806A2F" w:rsidRPr="00CD62DC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="00806A2F" w:rsidRPr="00CD62DC">
        <w:rPr>
          <w:rFonts w:ascii="Arial Unicode MS" w:hAnsi="Arial Unicode MS"/>
          <w:color w:val="7F7F7F"/>
          <w:sz w:val="18"/>
          <w:szCs w:val="20"/>
        </w:rPr>
        <w:t>敬請</w:t>
      </w:r>
      <w:hyperlink r:id="rId18" w:history="1">
        <w:r w:rsidR="00806A2F" w:rsidRPr="00CD62DC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="00806A2F" w:rsidRPr="00CD62DC">
        <w:rPr>
          <w:rFonts w:ascii="Arial Unicode MS" w:hAnsi="Arial Unicode MS" w:hint="eastAsia"/>
          <w:color w:val="808080"/>
          <w:sz w:val="18"/>
          <w:szCs w:val="20"/>
        </w:rPr>
        <w:t>，謝謝</w:t>
      </w:r>
      <w:r w:rsidR="00806A2F">
        <w:rPr>
          <w:rFonts w:ascii="Arial Unicode MS" w:hAnsi="Arial Unicode MS" w:hint="eastAsia"/>
          <w:color w:val="808080"/>
          <w:sz w:val="18"/>
          <w:szCs w:val="20"/>
        </w:rPr>
        <w:t>！</w:t>
      </w:r>
    </w:p>
    <w:p w:rsidR="00431EEC" w:rsidRPr="005A5315" w:rsidRDefault="00431EEC" w:rsidP="00D36C72">
      <w:pPr>
        <w:ind w:left="119"/>
        <w:jc w:val="both"/>
        <w:rPr>
          <w:rFonts w:ascii="Arial Unicode MS" w:hAnsi="Arial Unicode MS" w:hint="eastAsia"/>
          <w:color w:val="000000"/>
        </w:rPr>
      </w:pPr>
    </w:p>
    <w:sectPr w:rsidR="00431EEC" w:rsidRPr="005A5315">
      <w:footerReference w:type="even" r:id="rId19"/>
      <w:footerReference w:type="default" r:id="rId20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18D" w:rsidRDefault="0002118D">
      <w:r>
        <w:separator/>
      </w:r>
    </w:p>
  </w:endnote>
  <w:endnote w:type="continuationSeparator" w:id="0">
    <w:p w:rsidR="0002118D" w:rsidRDefault="0002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7A" w:rsidRDefault="00DB297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297A" w:rsidRDefault="00DB297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97A" w:rsidRDefault="00DB297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0038E">
      <w:rPr>
        <w:rStyle w:val="a7"/>
        <w:noProof/>
      </w:rPr>
      <w:t>1</w:t>
    </w:r>
    <w:r>
      <w:rPr>
        <w:rStyle w:val="a7"/>
      </w:rPr>
      <w:fldChar w:fldCharType="end"/>
    </w:r>
  </w:p>
  <w:p w:rsidR="00DB297A" w:rsidRPr="00A45D66" w:rsidRDefault="00DB297A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A45D66">
      <w:rPr>
        <w:rFonts w:ascii="Arial Unicode MS" w:hAnsi="Arial Unicode MS" w:hint="eastAsia"/>
        <w:sz w:val="18"/>
      </w:rPr>
      <w:t>&lt;&lt;</w:t>
    </w:r>
    <w:r w:rsidRPr="00A45D66">
      <w:rPr>
        <w:rFonts w:ascii="Arial Unicode MS" w:hAnsi="Arial Unicode MS" w:hint="eastAsia"/>
        <w:sz w:val="18"/>
      </w:rPr>
      <w:t>行政院人事行政局組織條例</w:t>
    </w:r>
    <w:r>
      <w:rPr>
        <w:rFonts w:ascii="Arial Unicode MS" w:hAnsi="Arial Unicode MS" w:hint="eastAsia"/>
        <w:sz w:val="18"/>
      </w:rPr>
      <w:t>(</w:t>
    </w:r>
    <w:r w:rsidRPr="00DB297A">
      <w:rPr>
        <w:rFonts w:ascii="Arial Unicode MS" w:hAnsi="Arial Unicode MS" w:hint="eastAsia"/>
        <w:sz w:val="18"/>
      </w:rPr>
      <w:t>廢</w:t>
    </w:r>
    <w:r>
      <w:rPr>
        <w:rFonts w:ascii="Arial Unicode MS" w:hAnsi="Arial Unicode MS" w:hint="eastAsia"/>
        <w:sz w:val="18"/>
      </w:rPr>
      <w:t>)</w:t>
    </w:r>
    <w:r w:rsidRPr="00A45D66">
      <w:rPr>
        <w:rFonts w:ascii="Arial Unicode MS" w:hAnsi="Arial Unicode MS" w:hint="eastAsia"/>
        <w:sz w:val="18"/>
      </w:rPr>
      <w:t>&gt;&gt;S-link</w:t>
    </w:r>
    <w:r w:rsidRPr="00A45D66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18D" w:rsidRDefault="0002118D">
      <w:r>
        <w:separator/>
      </w:r>
    </w:p>
  </w:footnote>
  <w:footnote w:type="continuationSeparator" w:id="0">
    <w:p w:rsidR="0002118D" w:rsidRDefault="00021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2118D"/>
    <w:rsid w:val="00041F63"/>
    <w:rsid w:val="0007318D"/>
    <w:rsid w:val="00086E54"/>
    <w:rsid w:val="000D545D"/>
    <w:rsid w:val="0012255A"/>
    <w:rsid w:val="0014738C"/>
    <w:rsid w:val="00162300"/>
    <w:rsid w:val="001A49BA"/>
    <w:rsid w:val="001B2013"/>
    <w:rsid w:val="001E4EAE"/>
    <w:rsid w:val="001F6C41"/>
    <w:rsid w:val="00243DF9"/>
    <w:rsid w:val="00260074"/>
    <w:rsid w:val="00293065"/>
    <w:rsid w:val="002B4B9C"/>
    <w:rsid w:val="002D3449"/>
    <w:rsid w:val="002D5734"/>
    <w:rsid w:val="002E0BE0"/>
    <w:rsid w:val="002E3B23"/>
    <w:rsid w:val="002F5997"/>
    <w:rsid w:val="00310E06"/>
    <w:rsid w:val="003222AE"/>
    <w:rsid w:val="00354CFA"/>
    <w:rsid w:val="003B0626"/>
    <w:rsid w:val="003B13F3"/>
    <w:rsid w:val="00431EEC"/>
    <w:rsid w:val="00480594"/>
    <w:rsid w:val="004A0CC8"/>
    <w:rsid w:val="004B52A7"/>
    <w:rsid w:val="004F572C"/>
    <w:rsid w:val="005360FE"/>
    <w:rsid w:val="00567A84"/>
    <w:rsid w:val="00586C7E"/>
    <w:rsid w:val="005A5315"/>
    <w:rsid w:val="005B55EB"/>
    <w:rsid w:val="00665917"/>
    <w:rsid w:val="00683312"/>
    <w:rsid w:val="006A2BCA"/>
    <w:rsid w:val="006B2AE3"/>
    <w:rsid w:val="006E01BF"/>
    <w:rsid w:val="006E50AA"/>
    <w:rsid w:val="006F00F5"/>
    <w:rsid w:val="00706A3E"/>
    <w:rsid w:val="0076126B"/>
    <w:rsid w:val="00765117"/>
    <w:rsid w:val="00771F29"/>
    <w:rsid w:val="0078068C"/>
    <w:rsid w:val="007C5BAB"/>
    <w:rsid w:val="007D0866"/>
    <w:rsid w:val="00806A2F"/>
    <w:rsid w:val="0083757D"/>
    <w:rsid w:val="00845988"/>
    <w:rsid w:val="0087077B"/>
    <w:rsid w:val="008A2A57"/>
    <w:rsid w:val="008B41D0"/>
    <w:rsid w:val="008D0DB0"/>
    <w:rsid w:val="008D1172"/>
    <w:rsid w:val="008F3B32"/>
    <w:rsid w:val="0090038E"/>
    <w:rsid w:val="00904D82"/>
    <w:rsid w:val="00922B91"/>
    <w:rsid w:val="00995A2A"/>
    <w:rsid w:val="00995AAE"/>
    <w:rsid w:val="009A6C0D"/>
    <w:rsid w:val="009D54F3"/>
    <w:rsid w:val="009E0895"/>
    <w:rsid w:val="00A14737"/>
    <w:rsid w:val="00A45D66"/>
    <w:rsid w:val="00A6011A"/>
    <w:rsid w:val="00A71C27"/>
    <w:rsid w:val="00A93CCE"/>
    <w:rsid w:val="00A950E7"/>
    <w:rsid w:val="00AB1481"/>
    <w:rsid w:val="00AC13F3"/>
    <w:rsid w:val="00AD52B5"/>
    <w:rsid w:val="00B05E85"/>
    <w:rsid w:val="00B27F2D"/>
    <w:rsid w:val="00BA360D"/>
    <w:rsid w:val="00BA6E03"/>
    <w:rsid w:val="00BC54F2"/>
    <w:rsid w:val="00BC70EF"/>
    <w:rsid w:val="00BD3A85"/>
    <w:rsid w:val="00BD6143"/>
    <w:rsid w:val="00BE7F71"/>
    <w:rsid w:val="00BF26BB"/>
    <w:rsid w:val="00C23A17"/>
    <w:rsid w:val="00C357DC"/>
    <w:rsid w:val="00C358A8"/>
    <w:rsid w:val="00C42B4D"/>
    <w:rsid w:val="00C50466"/>
    <w:rsid w:val="00CB4444"/>
    <w:rsid w:val="00CD2961"/>
    <w:rsid w:val="00CF378B"/>
    <w:rsid w:val="00D027CD"/>
    <w:rsid w:val="00D36745"/>
    <w:rsid w:val="00D36C72"/>
    <w:rsid w:val="00D66E62"/>
    <w:rsid w:val="00D76428"/>
    <w:rsid w:val="00DB297A"/>
    <w:rsid w:val="00DC5067"/>
    <w:rsid w:val="00DF444F"/>
    <w:rsid w:val="00E11C5F"/>
    <w:rsid w:val="00E270D3"/>
    <w:rsid w:val="00E3409F"/>
    <w:rsid w:val="00E35096"/>
    <w:rsid w:val="00E4677E"/>
    <w:rsid w:val="00E57CF9"/>
    <w:rsid w:val="00E678EC"/>
    <w:rsid w:val="00E721A4"/>
    <w:rsid w:val="00ED34F9"/>
    <w:rsid w:val="00F143E5"/>
    <w:rsid w:val="00F3421C"/>
    <w:rsid w:val="00F82645"/>
    <w:rsid w:val="00F95B90"/>
    <w:rsid w:val="00FC5363"/>
    <w:rsid w:val="00FD4F5C"/>
    <w:rsid w:val="00FD72D8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pPr>
      <w:keepNext/>
      <w:adjustRightInd w:val="0"/>
      <w:spacing w:before="180" w:after="180"/>
      <w:textAlignment w:val="baseline"/>
      <w:outlineLvl w:val="0"/>
    </w:pPr>
    <w:rPr>
      <w:rFonts w:ascii="Arial" w:hAnsi="Arial"/>
      <w:b/>
      <w:bCs/>
      <w:color w:val="333399"/>
      <w:kern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E35096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3366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paragraph" w:styleId="a8">
    <w:name w:val="Document Map"/>
    <w:basedOn w:val="a"/>
    <w:link w:val="a9"/>
    <w:rsid w:val="00E57CF9"/>
    <w:rPr>
      <w:rFonts w:ascii="新細明體"/>
      <w:sz w:val="18"/>
      <w:szCs w:val="18"/>
    </w:rPr>
  </w:style>
  <w:style w:type="character" w:customStyle="1" w:styleId="a9">
    <w:name w:val="文件引導模式 字元"/>
    <w:link w:val="a8"/>
    <w:rsid w:val="00E57CF9"/>
    <w:rPr>
      <w:rFonts w:ascii="新細明體"/>
      <w:kern w:val="2"/>
      <w:sz w:val="18"/>
      <w:szCs w:val="18"/>
    </w:rPr>
  </w:style>
  <w:style w:type="character" w:customStyle="1" w:styleId="20">
    <w:name w:val="標題 2 字元"/>
    <w:link w:val="2"/>
    <w:rsid w:val="00E35096"/>
    <w:rPr>
      <w:rFonts w:ascii="Arial Unicode MS" w:hAnsi="Arial Unicode MS" w:cs="Arial Unicode MS"/>
      <w:bCs/>
      <w:color w:val="993366"/>
      <w:kern w:val="2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/update.htm" TargetMode="External"/><Relationship Id="rId13" Type="http://schemas.openxmlformats.org/officeDocument/2006/relationships/hyperlink" Target="../law/&#20844;&#21209;&#20154;&#21729;&#20219;&#29992;&#27861;.docx" TargetMode="External"/><Relationship Id="rId18" Type="http://schemas.openxmlformats.org/officeDocument/2006/relationships/hyperlink" Target="mailto:anita399646@hot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../law3/&#38599;&#21729;&#31649;&#29702;&#35215;&#21063;.docx" TargetMode="External"/><Relationship Id="rId17" Type="http://schemas.openxmlformats.org/officeDocument/2006/relationships/hyperlink" Target="http://law.moj.gov.t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y.gov.tw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6law.idv.tw/6law/law/&#34892;&#25919;&#38498;&#20154;&#20107;&#34892;&#25919;&#23616;&#32068;&#32340;&#26781;&#20363;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resident.gov.tw" TargetMode="External"/><Relationship Id="rId10" Type="http://schemas.openxmlformats.org/officeDocument/2006/relationships/hyperlink" Target="../S-link&#38651;&#23376;&#20845;&#27861;&#32317;&#32034;&#24341;.docx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anita6law" TargetMode="External"/><Relationship Id="rId14" Type="http://schemas.openxmlformats.org/officeDocument/2006/relationships/hyperlink" Target="../law/&#20844;&#21209;&#20154;&#21147;&#30332;&#23637;&#20013;&#24515;&#32068;&#32340;&#26781;&#20363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3086</Characters>
  <Application>Microsoft Office Word</Application>
  <DocSecurity>4</DocSecurity>
  <Lines>25</Lines>
  <Paragraphs>7</Paragraphs>
  <ScaleCrop>false</ScaleCrop>
  <Company/>
  <LinksUpToDate>false</LinksUpToDate>
  <CharactersWithSpaces>3620</CharactersWithSpaces>
  <SharedDoc>false</SharedDoc>
  <HLinks>
    <vt:vector size="90" baseType="variant">
      <vt:variant>
        <vt:i4>2949124</vt:i4>
      </vt:variant>
      <vt:variant>
        <vt:i4>42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39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36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33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839660063</vt:i4>
      </vt:variant>
      <vt:variant>
        <vt:i4>24</vt:i4>
      </vt:variant>
      <vt:variant>
        <vt:i4>0</vt:i4>
      </vt:variant>
      <vt:variant>
        <vt:i4>5</vt:i4>
      </vt:variant>
      <vt:variant>
        <vt:lpwstr>公務人力發展中心組織條例.doc</vt:lpwstr>
      </vt:variant>
      <vt:variant>
        <vt:lpwstr/>
      </vt:variant>
      <vt:variant>
        <vt:i4>1936276989</vt:i4>
      </vt:variant>
      <vt:variant>
        <vt:i4>21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>a8</vt:lpwstr>
      </vt:variant>
      <vt:variant>
        <vt:i4>3735649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a9</vt:lpwstr>
      </vt:variant>
      <vt:variant>
        <vt:i4>1925014779</vt:i4>
      </vt:variant>
      <vt:variant>
        <vt:i4>15</vt:i4>
      </vt:variant>
      <vt:variant>
        <vt:i4>0</vt:i4>
      </vt:variant>
      <vt:variant>
        <vt:i4>5</vt:i4>
      </vt:variant>
      <vt:variant>
        <vt:lpwstr>../law3/雇員管理規則.doc</vt:lpwstr>
      </vt:variant>
      <vt:variant>
        <vt:lpwstr/>
      </vt:variant>
      <vt:variant>
        <vt:i4>-838197226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http://www.6law.idv.tw/6law/law/行政院人事行政局組織條例.htm</vt:lpwstr>
      </vt:variant>
      <vt:variant>
        <vt:lpwstr/>
      </vt:variant>
      <vt:variant>
        <vt:i4>682650251</vt:i4>
      </vt:variant>
      <vt:variant>
        <vt:i4>9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行政院人事行政局組織條例</vt:lpwstr>
      </vt:variant>
      <vt:variant>
        <vt:i4>91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廢:行政院人事行政局組織條例</dc:title>
  <dc:subject/>
  <dc:creator>S-link 電子六法-黃婉玲</dc:creator>
  <cp:keywords/>
  <cp:lastModifiedBy>cheahshen yap</cp:lastModifiedBy>
  <cp:revision>2</cp:revision>
  <dcterms:created xsi:type="dcterms:W3CDTF">2014-11-27T09:36:00Z</dcterms:created>
  <dcterms:modified xsi:type="dcterms:W3CDTF">2014-11-27T09:36:00Z</dcterms:modified>
</cp:coreProperties>
</file>