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1022F" w14:textId="492E0656" w:rsidR="00AB02D1" w:rsidRDefault="00640F65" w:rsidP="005D7873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Arial Unicode MS" w:hAnsi="Arial Unicode MS"/>
          <w:noProof/>
        </w:rPr>
        <w:drawing>
          <wp:inline distT="0" distB="0" distL="0" distR="0" wp14:anchorId="03C04377" wp14:editId="5C540603">
            <wp:extent cx="419343" cy="419343"/>
            <wp:effectExtent l="0" t="0" r="0" b="0"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3" cy="41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hAnsi="Arial Unicode MS"/>
        </w:rPr>
        <w:t xml:space="preserve"> </w:t>
      </w:r>
    </w:p>
    <w:p w14:paraId="6AEDABB9" w14:textId="5CB4CC6C" w:rsidR="00AB02D1" w:rsidRDefault="00AB02D1" w:rsidP="005D7873">
      <w:pPr>
        <w:tabs>
          <w:tab w:val="left" w:pos="9498"/>
        </w:tabs>
        <w:adjustRightInd w:val="0"/>
        <w:snapToGrid w:val="0"/>
        <w:ind w:left="4313" w:rightChars="8" w:right="16" w:hangingChars="2396" w:hanging="4313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C60626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640F65">
        <w:rPr>
          <w:rFonts w:ascii="Arial Unicode MS" w:hAnsi="Arial Unicode MS"/>
          <w:color w:val="5F5F5F"/>
          <w:sz w:val="18"/>
          <w:szCs w:val="20"/>
        </w:rPr>
        <w:t>2019/10/11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14:paraId="3AE1D291" w14:textId="225A9F83" w:rsidR="00AB02D1" w:rsidRDefault="00172209" w:rsidP="00AB02D1">
      <w:pPr>
        <w:adjustRightInd w:val="0"/>
        <w:snapToGrid w:val="0"/>
        <w:jc w:val="right"/>
        <w:rPr>
          <w:color w:val="808000"/>
          <w:sz w:val="18"/>
          <w:szCs w:val="20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640F65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640F65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p w14:paraId="0457CFFC" w14:textId="5DA26650" w:rsidR="00201E46" w:rsidRDefault="00E11CF3" w:rsidP="00D44AB2">
      <w:pPr>
        <w:jc w:val="right"/>
        <w:rPr>
          <w:rFonts w:ascii="Arial Unicode MS" w:hAnsi="Arial Unicode MS"/>
          <w:b/>
          <w:color w:val="5F5F5F"/>
          <w:sz w:val="18"/>
        </w:rPr>
      </w:pPr>
      <w:hyperlink r:id="rId10" w:history="1">
        <w:r w:rsidR="00D44AB2">
          <w:rPr>
            <w:rFonts w:ascii="Arial Unicode MS" w:hAnsi="Arial Unicode MS" w:hint="eastAsia"/>
            <w:color w:val="808000"/>
            <w:sz w:val="18"/>
            <w:szCs w:val="20"/>
            <w:u w:val="single"/>
          </w:rPr>
          <w:t>S-lin</w:t>
        </w:r>
        <w:bookmarkStart w:id="1" w:name="_GoBack"/>
        <w:r w:rsidR="00D44AB2">
          <w:rPr>
            <w:rFonts w:ascii="Arial Unicode MS" w:hAnsi="Arial Unicode MS" w:hint="eastAsia"/>
            <w:color w:val="808000"/>
            <w:sz w:val="18"/>
            <w:szCs w:val="20"/>
            <w:u w:val="single"/>
          </w:rPr>
          <w:t>k</w:t>
        </w:r>
        <w:r w:rsidR="00D44AB2">
          <w:rPr>
            <w:rFonts w:ascii="Arial Unicode MS" w:hAnsi="Arial Unicode MS" w:hint="eastAsia"/>
            <w:color w:val="808000"/>
            <w:sz w:val="18"/>
            <w:szCs w:val="20"/>
            <w:u w:val="single"/>
          </w:rPr>
          <w:t>總</w:t>
        </w:r>
        <w:bookmarkEnd w:id="1"/>
        <w:r w:rsidR="00D44AB2">
          <w:rPr>
            <w:rFonts w:ascii="Arial Unicode MS" w:hAnsi="Arial Unicode MS" w:hint="eastAsia"/>
            <w:color w:val="808000"/>
            <w:sz w:val="18"/>
            <w:szCs w:val="20"/>
            <w:u w:val="single"/>
          </w:rPr>
          <w:t>索引</w:t>
        </w:r>
      </w:hyperlink>
      <w:r w:rsidR="00640F65">
        <w:rPr>
          <w:rFonts w:ascii="Arial Unicode MS" w:hAnsi="Arial Unicode MS" w:hint="eastAsia"/>
          <w:b/>
          <w:color w:val="808000"/>
          <w:sz w:val="18"/>
          <w:szCs w:val="20"/>
        </w:rPr>
        <w:t>〉〉</w:t>
      </w:r>
      <w:hyperlink r:id="rId11" w:anchor="全國人民代表大會常務委員會關於修改〈中華人民共和國港口法〉等七部法律的決定" w:history="1">
        <w:r w:rsidR="00D44AB2" w:rsidRPr="00B309AA">
          <w:rPr>
            <w:rStyle w:val="a3"/>
            <w:rFonts w:ascii="Arial Unicode MS" w:hAnsi="Arial Unicode MS" w:hint="eastAsia"/>
            <w:sz w:val="18"/>
          </w:rPr>
          <w:t>S-link</w:t>
        </w:r>
        <w:r w:rsidR="00D44AB2" w:rsidRPr="00B309AA">
          <w:rPr>
            <w:rStyle w:val="a3"/>
            <w:rFonts w:ascii="Arial Unicode MS" w:hAnsi="Arial Unicode MS" w:hint="eastAsia"/>
            <w:sz w:val="18"/>
          </w:rPr>
          <w:t>大</w:t>
        </w:r>
        <w:r w:rsidR="00D44AB2" w:rsidRPr="00B309AA">
          <w:rPr>
            <w:rStyle w:val="a3"/>
            <w:rFonts w:ascii="Arial Unicode MS" w:hAnsi="Arial Unicode MS" w:hint="eastAsia"/>
            <w:sz w:val="18"/>
          </w:rPr>
          <w:t>陸</w:t>
        </w:r>
        <w:r w:rsidR="00D44AB2" w:rsidRPr="00B309AA">
          <w:rPr>
            <w:rStyle w:val="a3"/>
            <w:rFonts w:ascii="Arial Unicode MS" w:hAnsi="Arial Unicode MS" w:hint="eastAsia"/>
            <w:sz w:val="18"/>
          </w:rPr>
          <w:t>法規索引</w:t>
        </w:r>
      </w:hyperlink>
      <w:r w:rsidR="00640F65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2" w:tgtFrame="_blank" w:history="1">
        <w:r w:rsidR="00D44AB2" w:rsidRPr="007E576E">
          <w:rPr>
            <w:rStyle w:val="a3"/>
            <w:rFonts w:hint="eastAsia"/>
            <w:sz w:val="18"/>
          </w:rPr>
          <w:t>線上網頁版</w:t>
        </w:r>
      </w:hyperlink>
      <w:r w:rsidR="00640F65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37D298B7" w14:textId="77777777" w:rsidR="007155A9" w:rsidRPr="00E9022C" w:rsidRDefault="007155A9" w:rsidP="00D44AB2">
      <w:pPr>
        <w:jc w:val="right"/>
        <w:rPr>
          <w:rFonts w:ascii="Arial Unicode MS" w:hAnsi="Arial Unicode MS"/>
          <w:color w:val="000000"/>
          <w:u w:val="single"/>
        </w:rPr>
      </w:pPr>
    </w:p>
    <w:p w14:paraId="253977BA" w14:textId="77777777" w:rsidR="00172209" w:rsidRPr="00E9022C" w:rsidRDefault="00201E46" w:rsidP="007155A9">
      <w:pPr>
        <w:tabs>
          <w:tab w:val="num" w:pos="960"/>
        </w:tabs>
        <w:adjustRightInd w:val="0"/>
        <w:snapToGrid w:val="0"/>
        <w:spacing w:afterLines="50" w:after="180"/>
        <w:ind w:left="198" w:hanging="198"/>
        <w:jc w:val="both"/>
        <w:rPr>
          <w:rFonts w:ascii="Arial Unicode MS" w:hAnsi="Arial Unicode MS"/>
          <w:b/>
          <w:bCs/>
          <w:color w:val="993300"/>
          <w:szCs w:val="20"/>
        </w:rPr>
      </w:pPr>
      <w:r w:rsidRPr="00B2293B">
        <w:rPr>
          <w:rFonts w:ascii="Arial Unicode MS" w:hAnsi="Arial Unicode MS"/>
          <w:b/>
          <w:bCs/>
          <w:color w:val="990000"/>
          <w:szCs w:val="20"/>
        </w:rPr>
        <w:t>【</w:t>
      </w:r>
      <w:r w:rsidRPr="00B2293B">
        <w:rPr>
          <w:rFonts w:ascii="Arial Unicode MS" w:hAnsi="Arial Unicode MS" w:hint="eastAsia"/>
          <w:b/>
          <w:bCs/>
          <w:color w:val="990000"/>
          <w:szCs w:val="20"/>
        </w:rPr>
        <w:t>大陸</w:t>
      </w:r>
      <w:r w:rsidRPr="00B2293B">
        <w:rPr>
          <w:rFonts w:ascii="Arial Unicode MS" w:hAnsi="Arial Unicode MS"/>
          <w:b/>
          <w:bCs/>
          <w:color w:val="990000"/>
          <w:szCs w:val="20"/>
        </w:rPr>
        <w:t>法規】</w:t>
      </w:r>
      <w:r w:rsidR="007155A9" w:rsidRPr="00B76109">
        <w:rPr>
          <w:rFonts w:ascii="標楷體" w:eastAsia="標楷體" w:hAnsi="標楷體" w:hint="eastAsia"/>
          <w:bCs/>
          <w:color w:val="000000"/>
          <w:kern w:val="0"/>
          <w:sz w:val="2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全國人民代表大會常務委員會關於修改〈中華人民共和國港口法〉等七部法律的決定</w:t>
      </w:r>
    </w:p>
    <w:p w14:paraId="28B2ECD8" w14:textId="77777777" w:rsidR="00201E46" w:rsidRPr="00E9022C" w:rsidRDefault="00201E46" w:rsidP="00201E46">
      <w:pPr>
        <w:tabs>
          <w:tab w:val="num" w:pos="960"/>
        </w:tabs>
        <w:ind w:left="200" w:hangingChars="100" w:hanging="200"/>
        <w:rPr>
          <w:rFonts w:ascii="Arial Unicode MS" w:hAnsi="Arial Unicode MS"/>
          <w:color w:val="333333"/>
        </w:rPr>
      </w:pPr>
      <w:r w:rsidRPr="00B2293B">
        <w:rPr>
          <w:rFonts w:ascii="Arial Unicode MS" w:hAnsi="Arial Unicode MS"/>
          <w:b/>
          <w:color w:val="990000"/>
        </w:rPr>
        <w:t>【</w:t>
      </w:r>
      <w:r w:rsidRPr="00B2293B">
        <w:rPr>
          <w:rFonts w:ascii="Arial Unicode MS" w:hAnsi="Arial Unicode MS" w:hint="eastAsia"/>
          <w:b/>
          <w:color w:val="990000"/>
        </w:rPr>
        <w:t>發布單位</w:t>
      </w:r>
      <w:r w:rsidRPr="00B2293B">
        <w:rPr>
          <w:rFonts w:ascii="Arial Unicode MS" w:hAnsi="Arial Unicode MS"/>
          <w:b/>
          <w:color w:val="990000"/>
        </w:rPr>
        <w:t>】</w:t>
      </w:r>
      <w:r w:rsidR="0087702E" w:rsidRPr="0087702E">
        <w:rPr>
          <w:rFonts w:ascii="Arial Unicode MS" w:hAnsi="Arial Unicode MS" w:hint="eastAsia"/>
          <w:szCs w:val="20"/>
        </w:rPr>
        <w:t>全國人民代表大會常務委員會</w:t>
      </w:r>
    </w:p>
    <w:p w14:paraId="7334DEE0" w14:textId="77777777" w:rsidR="00201E46" w:rsidRPr="00177DCB" w:rsidRDefault="00201E46">
      <w:pPr>
        <w:tabs>
          <w:tab w:val="num" w:pos="960"/>
        </w:tabs>
        <w:rPr>
          <w:rFonts w:ascii="Arial Unicode MS" w:hAnsi="Arial Unicode MS"/>
          <w:bCs/>
          <w:color w:val="333333"/>
          <w:szCs w:val="20"/>
        </w:rPr>
      </w:pPr>
      <w:r w:rsidRPr="00B2293B">
        <w:rPr>
          <w:rFonts w:ascii="Arial Unicode MS" w:hAnsi="Arial Unicode MS"/>
          <w:b/>
          <w:color w:val="990000"/>
          <w:szCs w:val="20"/>
        </w:rPr>
        <w:t>【</w:t>
      </w:r>
      <w:r w:rsidRPr="00B2293B">
        <w:rPr>
          <w:rFonts w:ascii="Arial Unicode MS" w:hAnsi="Arial Unicode MS" w:hint="eastAsia"/>
          <w:b/>
          <w:color w:val="990000"/>
          <w:szCs w:val="20"/>
        </w:rPr>
        <w:t>發布日期</w:t>
      </w:r>
      <w:r w:rsidRPr="00B2293B">
        <w:rPr>
          <w:rFonts w:ascii="Arial Unicode MS" w:hAnsi="Arial Unicode MS"/>
          <w:b/>
          <w:color w:val="990000"/>
          <w:szCs w:val="20"/>
        </w:rPr>
        <w:t>】</w:t>
      </w:r>
      <w:r w:rsidR="005F646B" w:rsidRPr="005F646B">
        <w:rPr>
          <w:rFonts w:ascii="Arial Unicode MS" w:hAnsi="Arial Unicode MS" w:hint="eastAsia"/>
          <w:bCs/>
          <w:color w:val="000000"/>
          <w:szCs w:val="20"/>
        </w:rPr>
        <w:t>2015</w:t>
      </w:r>
      <w:r w:rsidR="005F646B" w:rsidRPr="005F646B">
        <w:rPr>
          <w:rFonts w:ascii="Arial Unicode MS" w:hAnsi="Arial Unicode MS" w:hint="eastAsia"/>
          <w:bCs/>
          <w:color w:val="000000"/>
          <w:szCs w:val="20"/>
        </w:rPr>
        <w:t>年</w:t>
      </w:r>
      <w:r w:rsidR="005F646B" w:rsidRPr="005F646B">
        <w:rPr>
          <w:rFonts w:ascii="Arial Unicode MS" w:hAnsi="Arial Unicode MS" w:hint="eastAsia"/>
          <w:bCs/>
          <w:color w:val="000000"/>
          <w:szCs w:val="20"/>
        </w:rPr>
        <w:t>4</w:t>
      </w:r>
      <w:r w:rsidR="005F646B" w:rsidRPr="005F646B">
        <w:rPr>
          <w:rFonts w:ascii="Arial Unicode MS" w:hAnsi="Arial Unicode MS" w:hint="eastAsia"/>
          <w:bCs/>
          <w:color w:val="000000"/>
          <w:szCs w:val="20"/>
        </w:rPr>
        <w:t>月</w:t>
      </w:r>
      <w:r w:rsidR="005F646B" w:rsidRPr="005F646B">
        <w:rPr>
          <w:rFonts w:ascii="Arial Unicode MS" w:hAnsi="Arial Unicode MS" w:hint="eastAsia"/>
          <w:bCs/>
          <w:color w:val="000000"/>
          <w:szCs w:val="20"/>
        </w:rPr>
        <w:t>24</w:t>
      </w:r>
      <w:r w:rsidR="005F646B" w:rsidRPr="005F646B">
        <w:rPr>
          <w:rFonts w:ascii="Arial Unicode MS" w:hAnsi="Arial Unicode MS" w:hint="eastAsia"/>
          <w:bCs/>
          <w:color w:val="000000"/>
          <w:szCs w:val="20"/>
        </w:rPr>
        <w:t>日</w:t>
      </w:r>
    </w:p>
    <w:p w14:paraId="4E57315C" w14:textId="77777777" w:rsidR="00201E46" w:rsidRDefault="00201E46">
      <w:pPr>
        <w:ind w:left="1401" w:hangingChars="700" w:hanging="1401"/>
        <w:rPr>
          <w:rFonts w:ascii="Arial Unicode MS" w:hAnsi="Arial Unicode MS"/>
        </w:rPr>
      </w:pPr>
      <w:r w:rsidRPr="00B2293B">
        <w:rPr>
          <w:rFonts w:ascii="Arial Unicode MS" w:hAnsi="Arial Unicode MS"/>
          <w:b/>
          <w:color w:val="990000"/>
        </w:rPr>
        <w:t>【</w:t>
      </w:r>
      <w:r w:rsidRPr="00B2293B">
        <w:rPr>
          <w:rFonts w:ascii="Arial Unicode MS" w:hAnsi="Arial Unicode MS" w:hint="eastAsia"/>
          <w:b/>
          <w:color w:val="990000"/>
        </w:rPr>
        <w:t>實施日期</w:t>
      </w:r>
      <w:r w:rsidRPr="00B2293B">
        <w:rPr>
          <w:rFonts w:ascii="Arial Unicode MS" w:hAnsi="Arial Unicode MS"/>
          <w:b/>
          <w:color w:val="990000"/>
        </w:rPr>
        <w:t>】</w:t>
      </w:r>
      <w:r w:rsidR="005F646B" w:rsidRPr="005F646B">
        <w:rPr>
          <w:rFonts w:ascii="Arial Unicode MS" w:hAnsi="Arial Unicode MS" w:hint="eastAsia"/>
          <w:bCs/>
          <w:color w:val="000000"/>
        </w:rPr>
        <w:t>2015</w:t>
      </w:r>
      <w:r w:rsidR="005F646B" w:rsidRPr="005F646B">
        <w:rPr>
          <w:rFonts w:ascii="Arial Unicode MS" w:hAnsi="Arial Unicode MS" w:hint="eastAsia"/>
          <w:bCs/>
          <w:color w:val="000000"/>
        </w:rPr>
        <w:t>年</w:t>
      </w:r>
      <w:r w:rsidR="005F646B" w:rsidRPr="005F646B">
        <w:rPr>
          <w:rFonts w:ascii="Arial Unicode MS" w:hAnsi="Arial Unicode MS" w:hint="eastAsia"/>
          <w:bCs/>
          <w:color w:val="000000"/>
        </w:rPr>
        <w:t>4</w:t>
      </w:r>
      <w:r w:rsidR="005F646B" w:rsidRPr="005F646B">
        <w:rPr>
          <w:rFonts w:ascii="Arial Unicode MS" w:hAnsi="Arial Unicode MS" w:hint="eastAsia"/>
          <w:bCs/>
          <w:color w:val="000000"/>
        </w:rPr>
        <w:t>月</w:t>
      </w:r>
      <w:r w:rsidR="005F646B" w:rsidRPr="005F646B">
        <w:rPr>
          <w:rFonts w:ascii="Arial Unicode MS" w:hAnsi="Arial Unicode MS" w:hint="eastAsia"/>
          <w:bCs/>
          <w:color w:val="000000"/>
        </w:rPr>
        <w:t>24</w:t>
      </w:r>
      <w:r w:rsidR="005F646B" w:rsidRPr="005F646B">
        <w:rPr>
          <w:rFonts w:ascii="Arial Unicode MS" w:hAnsi="Arial Unicode MS" w:hint="eastAsia"/>
          <w:bCs/>
          <w:color w:val="000000"/>
        </w:rPr>
        <w:t>日</w:t>
      </w:r>
    </w:p>
    <w:p w14:paraId="020D652D" w14:textId="77777777" w:rsidR="00177DCB" w:rsidRPr="00E9022C" w:rsidRDefault="00177DCB" w:rsidP="00177DCB">
      <w:pPr>
        <w:ind w:left="1400" w:hangingChars="700" w:hanging="1400"/>
        <w:rPr>
          <w:rFonts w:ascii="Arial Unicode MS" w:hAnsi="Arial Unicode MS"/>
          <w:color w:val="333333"/>
        </w:rPr>
      </w:pPr>
    </w:p>
    <w:p w14:paraId="56EF1F27" w14:textId="77777777" w:rsidR="001974AB" w:rsidRPr="00334965" w:rsidRDefault="00201E46" w:rsidP="00E62DF0">
      <w:pPr>
        <w:pStyle w:val="1"/>
        <w:spacing w:beforeLines="30" w:before="108" w:beforeAutospacing="0" w:afterLines="30" w:after="108" w:afterAutospacing="0"/>
        <w:rPr>
          <w:color w:val="990000"/>
        </w:rPr>
      </w:pPr>
      <w:r w:rsidRPr="00334965">
        <w:rPr>
          <w:color w:val="990000"/>
        </w:rPr>
        <w:t>【</w:t>
      </w:r>
      <w:r w:rsidRPr="00334965">
        <w:rPr>
          <w:rFonts w:hint="eastAsia"/>
          <w:color w:val="990000"/>
        </w:rPr>
        <w:t>法規沿革</w:t>
      </w:r>
      <w:r w:rsidRPr="00334965">
        <w:rPr>
          <w:color w:val="990000"/>
        </w:rPr>
        <w:t>】</w:t>
      </w:r>
    </w:p>
    <w:p w14:paraId="2E8AF0AA" w14:textId="77777777" w:rsidR="00201E46" w:rsidRDefault="003F1567" w:rsidP="005D7873">
      <w:pPr>
        <w:ind w:leftChars="59" w:left="118"/>
        <w:rPr>
          <w:rFonts w:ascii="Arial Unicode MS" w:hAnsi="Arial Unicode MS"/>
          <w:bCs/>
          <w:color w:val="000000"/>
          <w:sz w:val="18"/>
        </w:rPr>
      </w:pPr>
      <w:r w:rsidRPr="003F1567">
        <w:rPr>
          <w:rFonts w:ascii="Arial Unicode MS" w:hAnsi="Arial Unicode MS" w:hint="eastAsia"/>
          <w:bCs/>
          <w:color w:val="000000"/>
          <w:sz w:val="18"/>
        </w:rPr>
        <w:t>‧</w:t>
      </w:r>
      <w:r w:rsidR="009043D9" w:rsidRPr="009043D9">
        <w:rPr>
          <w:rFonts w:ascii="Arial Unicode MS" w:hAnsi="Arial Unicode MS" w:hint="eastAsia"/>
          <w:bCs/>
          <w:color w:val="000000"/>
          <w:sz w:val="18"/>
        </w:rPr>
        <w:t>2015</w:t>
      </w:r>
      <w:r w:rsidR="009043D9" w:rsidRPr="009043D9">
        <w:rPr>
          <w:rFonts w:ascii="Arial Unicode MS" w:hAnsi="Arial Unicode MS" w:hint="eastAsia"/>
          <w:bCs/>
          <w:color w:val="000000"/>
          <w:sz w:val="18"/>
        </w:rPr>
        <w:t>年</w:t>
      </w:r>
      <w:r w:rsidR="009043D9" w:rsidRPr="009043D9">
        <w:rPr>
          <w:rFonts w:ascii="Arial Unicode MS" w:hAnsi="Arial Unicode MS" w:hint="eastAsia"/>
          <w:bCs/>
          <w:color w:val="000000"/>
          <w:sz w:val="18"/>
        </w:rPr>
        <w:t>4</w:t>
      </w:r>
      <w:r w:rsidR="009043D9" w:rsidRPr="009043D9">
        <w:rPr>
          <w:rFonts w:ascii="Arial Unicode MS" w:hAnsi="Arial Unicode MS" w:hint="eastAsia"/>
          <w:bCs/>
          <w:color w:val="000000"/>
          <w:sz w:val="18"/>
        </w:rPr>
        <w:t>月</w:t>
      </w:r>
      <w:r w:rsidR="009043D9" w:rsidRPr="009043D9">
        <w:rPr>
          <w:rFonts w:ascii="Arial Unicode MS" w:hAnsi="Arial Unicode MS" w:hint="eastAsia"/>
          <w:bCs/>
          <w:color w:val="000000"/>
          <w:sz w:val="18"/>
        </w:rPr>
        <w:t>24</w:t>
      </w:r>
      <w:r w:rsidR="009043D9" w:rsidRPr="009043D9">
        <w:rPr>
          <w:rFonts w:ascii="Arial Unicode MS" w:hAnsi="Arial Unicode MS" w:hint="eastAsia"/>
          <w:bCs/>
          <w:color w:val="000000"/>
          <w:sz w:val="18"/>
        </w:rPr>
        <w:t>日第十二屆全國人民代表大會常務委員會第十四次會議通過</w:t>
      </w:r>
    </w:p>
    <w:p w14:paraId="233F7DE8" w14:textId="77777777" w:rsidR="005F646B" w:rsidRPr="003F1567" w:rsidRDefault="005F646B" w:rsidP="005D7873">
      <w:pPr>
        <w:ind w:leftChars="59" w:left="118"/>
        <w:rPr>
          <w:rFonts w:ascii="Arial Unicode MS" w:hAnsi="Arial Unicode MS"/>
          <w:bCs/>
          <w:color w:val="000000"/>
          <w:sz w:val="18"/>
        </w:rPr>
      </w:pPr>
    </w:p>
    <w:p w14:paraId="55CDE015" w14:textId="77777777" w:rsidR="00201E46" w:rsidRPr="00334965" w:rsidRDefault="00201E46" w:rsidP="00E62DF0">
      <w:pPr>
        <w:pStyle w:val="1"/>
        <w:spacing w:beforeLines="30" w:before="108" w:beforeAutospacing="0" w:afterLines="30" w:after="108" w:afterAutospacing="0"/>
        <w:rPr>
          <w:color w:val="990000"/>
          <w:szCs w:val="27"/>
          <w:lang w:val="zh-TW"/>
        </w:rPr>
      </w:pPr>
      <w:r w:rsidRPr="00334965">
        <w:rPr>
          <w:color w:val="990000"/>
        </w:rPr>
        <w:t>【</w:t>
      </w:r>
      <w:r w:rsidRPr="00334965">
        <w:rPr>
          <w:rFonts w:hint="eastAsia"/>
          <w:color w:val="990000"/>
        </w:rPr>
        <w:t>法規內容</w:t>
      </w:r>
      <w:r w:rsidRPr="00334965">
        <w:rPr>
          <w:color w:val="990000"/>
        </w:rPr>
        <w:t>】</w:t>
      </w:r>
    </w:p>
    <w:p w14:paraId="561A6550" w14:textId="77777777" w:rsidR="007155A9" w:rsidRPr="007155A9" w:rsidRDefault="009043D9" w:rsidP="007155A9">
      <w:pPr>
        <w:ind w:leftChars="75" w:left="150"/>
        <w:jc w:val="both"/>
        <w:rPr>
          <w:rFonts w:ascii="Arial Unicode MS" w:hAnsi="Arial Unicode MS"/>
        </w:rPr>
      </w:pPr>
      <w:bookmarkStart w:id="2" w:name="_第一章__總"/>
      <w:bookmarkEnd w:id="2"/>
      <w:r>
        <w:rPr>
          <w:rFonts w:ascii="Arial Unicode MS" w:hAnsi="Arial Unicode MS" w:hint="eastAsia"/>
        </w:rPr>
        <w:t xml:space="preserve">　　</w:t>
      </w:r>
      <w:r w:rsidR="007155A9" w:rsidRPr="007155A9">
        <w:rPr>
          <w:rFonts w:ascii="Arial Unicode MS" w:hAnsi="Arial Unicode MS" w:hint="eastAsia"/>
        </w:rPr>
        <w:t>第十二屆全國人民代表大會常務委員會第十四次會議決定，對下列法律中有關行政審批的規定作出修改：</w:t>
      </w:r>
    </w:p>
    <w:p w14:paraId="4DAD862D" w14:textId="77777777" w:rsidR="009043D9" w:rsidRPr="00353BEA" w:rsidRDefault="007155A9" w:rsidP="00436341">
      <w:pPr>
        <w:pStyle w:val="2"/>
        <w:spacing w:beforeLines="30" w:before="108" w:beforeAutospacing="0" w:afterLines="30" w:after="108" w:afterAutospacing="0"/>
        <w:rPr>
          <w:b w:val="0"/>
        </w:rPr>
      </w:pPr>
      <w:bookmarkStart w:id="3" w:name="a1"/>
      <w:bookmarkEnd w:id="3"/>
      <w:r w:rsidRPr="00353BEA">
        <w:rPr>
          <w:rFonts w:hint="eastAsia"/>
          <w:b w:val="0"/>
        </w:rPr>
        <w:t>一、對《</w:t>
      </w:r>
      <w:hyperlink r:id="rId13" w:history="1">
        <w:r w:rsidRPr="00353BEA">
          <w:rPr>
            <w:rStyle w:val="a3"/>
            <w:rFonts w:ascii="Arial Unicode MS" w:hAnsi="Arial Unicode MS" w:hint="eastAsia"/>
            <w:b w:val="0"/>
          </w:rPr>
          <w:t>中華人民共和國港口法</w:t>
        </w:r>
      </w:hyperlink>
      <w:r w:rsidRPr="00353BEA">
        <w:rPr>
          <w:rFonts w:hint="eastAsia"/>
          <w:b w:val="0"/>
        </w:rPr>
        <w:t>》作出修改</w:t>
      </w:r>
    </w:p>
    <w:p w14:paraId="15015D91" w14:textId="77777777" w:rsidR="009043D9" w:rsidRDefault="009043D9" w:rsidP="007155A9">
      <w:pPr>
        <w:ind w:leftChars="75" w:left="150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="007155A9" w:rsidRPr="007155A9">
        <w:rPr>
          <w:rFonts w:ascii="Arial Unicode MS" w:hAnsi="Arial Unicode MS" w:hint="eastAsia"/>
        </w:rPr>
        <w:t>將第</w:t>
      </w:r>
      <w:hyperlink r:id="rId14" w:anchor="a37" w:history="1">
        <w:r w:rsidR="007155A9" w:rsidRPr="00E67692">
          <w:rPr>
            <w:rStyle w:val="a3"/>
            <w:rFonts w:ascii="Arial Unicode MS" w:hAnsi="Arial Unicode MS" w:hint="eastAsia"/>
          </w:rPr>
          <w:t>三十七</w:t>
        </w:r>
      </w:hyperlink>
      <w:r w:rsidR="007155A9" w:rsidRPr="007155A9">
        <w:rPr>
          <w:rFonts w:ascii="Arial Unicode MS" w:hAnsi="Arial Unicode MS" w:hint="eastAsia"/>
        </w:rPr>
        <w:t>條第二款修改為：“不得在港口進行可能危及港口安全的採掘、爆破等活動；因工程建設等確需進行的，必須採取相應的安全保護措施，並報經港口行政管理部門批准。港口行政管理部門應當將審批情況及時通報海事管理機構，海事管理機構不再依照有關水上交通安全的法律、行政法規的規定進行審批。”</w:t>
      </w:r>
      <w:r w:rsidR="007155A9" w:rsidRPr="007155A9">
        <w:rPr>
          <w:rFonts w:ascii="Arial Unicode MS" w:hAnsi="Arial Unicode MS" w:hint="eastAsia"/>
        </w:rPr>
        <w:t xml:space="preserve"> </w:t>
      </w:r>
    </w:p>
    <w:p w14:paraId="706F48C2" w14:textId="77777777" w:rsidR="009043D9" w:rsidRPr="00353BEA" w:rsidRDefault="007155A9" w:rsidP="00436341">
      <w:pPr>
        <w:pStyle w:val="2"/>
        <w:spacing w:beforeLines="30" w:before="108" w:beforeAutospacing="0" w:afterLines="30" w:after="108" w:afterAutospacing="0"/>
        <w:rPr>
          <w:b w:val="0"/>
        </w:rPr>
      </w:pPr>
      <w:bookmarkStart w:id="4" w:name="a2"/>
      <w:bookmarkEnd w:id="4"/>
      <w:r w:rsidRPr="00353BEA">
        <w:rPr>
          <w:rFonts w:hint="eastAsia"/>
          <w:b w:val="0"/>
        </w:rPr>
        <w:t>二、對《</w:t>
      </w:r>
      <w:hyperlink r:id="rId15" w:history="1">
        <w:r w:rsidRPr="00353BEA">
          <w:rPr>
            <w:rStyle w:val="a3"/>
            <w:rFonts w:ascii="Arial Unicode MS" w:hAnsi="Arial Unicode MS" w:hint="eastAsia"/>
            <w:b w:val="0"/>
          </w:rPr>
          <w:t>中華人民共和國稅收徵收管理法</w:t>
        </w:r>
      </w:hyperlink>
      <w:r w:rsidRPr="00353BEA">
        <w:rPr>
          <w:rFonts w:hint="eastAsia"/>
          <w:b w:val="0"/>
        </w:rPr>
        <w:t>》作出修改</w:t>
      </w:r>
    </w:p>
    <w:p w14:paraId="78472672" w14:textId="77777777" w:rsidR="007155A9" w:rsidRPr="007155A9" w:rsidRDefault="009043D9" w:rsidP="007155A9">
      <w:pPr>
        <w:ind w:leftChars="75" w:left="150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="007155A9" w:rsidRPr="007155A9">
        <w:rPr>
          <w:rFonts w:ascii="Arial Unicode MS" w:hAnsi="Arial Unicode MS" w:hint="eastAsia"/>
        </w:rPr>
        <w:t>將第</w:t>
      </w:r>
      <w:hyperlink r:id="rId16" w:anchor="a33" w:history="1">
        <w:r w:rsidR="007155A9" w:rsidRPr="00E67692">
          <w:rPr>
            <w:rStyle w:val="a3"/>
            <w:rFonts w:ascii="Arial Unicode MS" w:hAnsi="Arial Unicode MS" w:hint="eastAsia"/>
          </w:rPr>
          <w:t>三十三</w:t>
        </w:r>
      </w:hyperlink>
      <w:r w:rsidR="007155A9" w:rsidRPr="007155A9">
        <w:rPr>
          <w:rFonts w:ascii="Arial Unicode MS" w:hAnsi="Arial Unicode MS" w:hint="eastAsia"/>
        </w:rPr>
        <w:t>條修改為：“納稅人依照法律、行政法規的規定辦理減稅、免稅。</w:t>
      </w:r>
    </w:p>
    <w:p w14:paraId="5C9AD9E0" w14:textId="77777777" w:rsidR="009043D9" w:rsidRDefault="007155A9" w:rsidP="007155A9">
      <w:pPr>
        <w:ind w:leftChars="75" w:left="150"/>
        <w:jc w:val="both"/>
        <w:rPr>
          <w:rFonts w:ascii="Arial Unicode MS" w:hAnsi="Arial Unicode MS"/>
        </w:rPr>
      </w:pPr>
      <w:r w:rsidRPr="007155A9">
        <w:rPr>
          <w:rFonts w:ascii="Arial Unicode MS" w:hAnsi="Arial Unicode MS" w:hint="eastAsia"/>
        </w:rPr>
        <w:t xml:space="preserve">　　“地方各級人民政府、各級人民政府主管部門、單位和個人違反法律、行政法規規定，擅自作出的減稅、免稅決定無效，稅務機關不得執行，並向上級稅務機關報告。”</w:t>
      </w:r>
      <w:r w:rsidRPr="007155A9">
        <w:rPr>
          <w:rFonts w:ascii="Arial Unicode MS" w:hAnsi="Arial Unicode MS" w:hint="eastAsia"/>
        </w:rPr>
        <w:t xml:space="preserve"> </w:t>
      </w:r>
    </w:p>
    <w:p w14:paraId="3BA546F5" w14:textId="77777777" w:rsidR="009043D9" w:rsidRPr="00F80386" w:rsidRDefault="007155A9" w:rsidP="00436341">
      <w:pPr>
        <w:pStyle w:val="2"/>
        <w:spacing w:beforeLines="30" w:before="108" w:beforeAutospacing="0" w:afterLines="30" w:after="108" w:afterAutospacing="0"/>
        <w:rPr>
          <w:b w:val="0"/>
        </w:rPr>
      </w:pPr>
      <w:bookmarkStart w:id="5" w:name="a3"/>
      <w:bookmarkEnd w:id="5"/>
      <w:r w:rsidRPr="00F80386">
        <w:rPr>
          <w:rFonts w:hint="eastAsia"/>
          <w:b w:val="0"/>
        </w:rPr>
        <w:t>三、對《</w:t>
      </w:r>
      <w:hyperlink r:id="rId17" w:history="1">
        <w:r w:rsidRPr="00F80386">
          <w:rPr>
            <w:rStyle w:val="a3"/>
            <w:rFonts w:ascii="Arial Unicode MS" w:hAnsi="Arial Unicode MS" w:hint="eastAsia"/>
            <w:b w:val="0"/>
          </w:rPr>
          <w:t>中華人民共和國固體廢物污染環境防治法</w:t>
        </w:r>
      </w:hyperlink>
      <w:r w:rsidRPr="00F80386">
        <w:rPr>
          <w:rFonts w:hint="eastAsia"/>
          <w:b w:val="0"/>
        </w:rPr>
        <w:t>》作出修改</w:t>
      </w:r>
    </w:p>
    <w:p w14:paraId="4EA00403" w14:textId="77777777" w:rsidR="009043D9" w:rsidRDefault="00850D69" w:rsidP="007155A9">
      <w:pPr>
        <w:ind w:leftChars="75" w:left="150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="007155A9" w:rsidRPr="007155A9">
        <w:rPr>
          <w:rFonts w:ascii="Arial Unicode MS" w:hAnsi="Arial Unicode MS" w:hint="eastAsia"/>
        </w:rPr>
        <w:t>將第</w:t>
      </w:r>
      <w:hyperlink r:id="rId18" w:anchor="a25" w:history="1">
        <w:r w:rsidR="007155A9" w:rsidRPr="00A00E54">
          <w:rPr>
            <w:rStyle w:val="a3"/>
            <w:rFonts w:ascii="Arial Unicode MS" w:hAnsi="Arial Unicode MS" w:hint="eastAsia"/>
          </w:rPr>
          <w:t>二十五</w:t>
        </w:r>
      </w:hyperlink>
      <w:r w:rsidR="007155A9" w:rsidRPr="007155A9">
        <w:rPr>
          <w:rFonts w:ascii="Arial Unicode MS" w:hAnsi="Arial Unicode MS" w:hint="eastAsia"/>
        </w:rPr>
        <w:t>條第一款和第二款中的“自動許可進口”修改為“非限制進口”。刪去第三款中的“進口列入自動許可進口目錄的固體廢物，應當依法辦理自動許可手續。”</w:t>
      </w:r>
      <w:r w:rsidR="007155A9" w:rsidRPr="007155A9">
        <w:rPr>
          <w:rFonts w:ascii="Arial Unicode MS" w:hAnsi="Arial Unicode MS" w:hint="eastAsia"/>
        </w:rPr>
        <w:t xml:space="preserve"> </w:t>
      </w:r>
    </w:p>
    <w:p w14:paraId="6BC6CD37" w14:textId="77777777" w:rsidR="009043D9" w:rsidRPr="00353BEA" w:rsidRDefault="007155A9" w:rsidP="00436341">
      <w:pPr>
        <w:pStyle w:val="2"/>
        <w:spacing w:beforeLines="30" w:before="108" w:beforeAutospacing="0" w:afterLines="30" w:after="108" w:afterAutospacing="0"/>
        <w:rPr>
          <w:b w:val="0"/>
        </w:rPr>
      </w:pPr>
      <w:bookmarkStart w:id="6" w:name="a4"/>
      <w:bookmarkEnd w:id="6"/>
      <w:r w:rsidRPr="00353BEA">
        <w:rPr>
          <w:rFonts w:hint="eastAsia"/>
          <w:b w:val="0"/>
        </w:rPr>
        <w:t>四、對《</w:t>
      </w:r>
      <w:hyperlink r:id="rId19" w:history="1">
        <w:r w:rsidRPr="00353BEA">
          <w:rPr>
            <w:rStyle w:val="a3"/>
            <w:rFonts w:ascii="Arial Unicode MS" w:hAnsi="Arial Unicode MS" w:hint="eastAsia"/>
            <w:b w:val="0"/>
          </w:rPr>
          <w:t>中華人民共和國槍支管理法</w:t>
        </w:r>
      </w:hyperlink>
      <w:r w:rsidRPr="00353BEA">
        <w:rPr>
          <w:rFonts w:hint="eastAsia"/>
          <w:b w:val="0"/>
        </w:rPr>
        <w:t>》作出修改</w:t>
      </w:r>
    </w:p>
    <w:p w14:paraId="44BBA6EC" w14:textId="77777777" w:rsidR="009043D9" w:rsidRPr="009043D9" w:rsidRDefault="009043D9" w:rsidP="009043D9">
      <w:r>
        <w:rPr>
          <w:rFonts w:hint="eastAsia"/>
        </w:rPr>
        <w:t xml:space="preserve">　　</w:t>
      </w:r>
      <w:r w:rsidR="007155A9" w:rsidRPr="009043D9">
        <w:rPr>
          <w:rFonts w:hint="eastAsia"/>
        </w:rPr>
        <w:t>將</w:t>
      </w:r>
      <w:hyperlink r:id="rId20" w:anchor="a7" w:history="1">
        <w:r w:rsidR="007155A9" w:rsidRPr="00353BEA">
          <w:rPr>
            <w:rStyle w:val="a3"/>
            <w:rFonts w:ascii="Times New Roman" w:hAnsi="Times New Roman" w:hint="eastAsia"/>
          </w:rPr>
          <w:t>第七條</w:t>
        </w:r>
      </w:hyperlink>
      <w:r w:rsidR="007155A9" w:rsidRPr="009043D9">
        <w:rPr>
          <w:rFonts w:hint="eastAsia"/>
        </w:rPr>
        <w:t>第一款修改為：“配備公務用槍，由國務院公安部門或者省級人民政府公安機關審批。”</w:t>
      </w:r>
      <w:r w:rsidR="007155A9" w:rsidRPr="009043D9">
        <w:rPr>
          <w:rFonts w:hint="eastAsia"/>
        </w:rPr>
        <w:t xml:space="preserve"> </w:t>
      </w:r>
    </w:p>
    <w:p w14:paraId="6DFF93F5" w14:textId="77777777" w:rsidR="007155A9" w:rsidRPr="00436341" w:rsidRDefault="007155A9" w:rsidP="00436341">
      <w:pPr>
        <w:pStyle w:val="2"/>
        <w:spacing w:beforeLines="30" w:before="108" w:beforeAutospacing="0" w:afterLines="30" w:after="108" w:afterAutospacing="0"/>
        <w:rPr>
          <w:b w:val="0"/>
        </w:rPr>
      </w:pPr>
      <w:bookmarkStart w:id="7" w:name="a5"/>
      <w:bookmarkEnd w:id="7"/>
      <w:r w:rsidRPr="00436341">
        <w:rPr>
          <w:rFonts w:hint="eastAsia"/>
          <w:b w:val="0"/>
        </w:rPr>
        <w:lastRenderedPageBreak/>
        <w:t>五、對《</w:t>
      </w:r>
      <w:hyperlink r:id="rId21" w:history="1">
        <w:r w:rsidRPr="00436341">
          <w:rPr>
            <w:rStyle w:val="a3"/>
            <w:rFonts w:ascii="Arial Unicode MS" w:hAnsi="Arial Unicode MS" w:hint="eastAsia"/>
            <w:b w:val="0"/>
          </w:rPr>
          <w:t>中華人民共和國防洪法</w:t>
        </w:r>
      </w:hyperlink>
      <w:r w:rsidRPr="00436341">
        <w:rPr>
          <w:rFonts w:hint="eastAsia"/>
          <w:b w:val="0"/>
        </w:rPr>
        <w:t>》作出修改</w:t>
      </w:r>
    </w:p>
    <w:p w14:paraId="00DC113F" w14:textId="77777777" w:rsidR="007155A9" w:rsidRPr="007155A9" w:rsidRDefault="007155A9" w:rsidP="007155A9">
      <w:pPr>
        <w:ind w:leftChars="75" w:left="150"/>
        <w:jc w:val="both"/>
        <w:rPr>
          <w:rFonts w:ascii="Arial Unicode MS" w:hAnsi="Arial Unicode MS"/>
        </w:rPr>
      </w:pPr>
      <w:r w:rsidRPr="007155A9">
        <w:rPr>
          <w:rFonts w:ascii="Arial Unicode MS" w:hAnsi="Arial Unicode MS" w:hint="eastAsia"/>
        </w:rPr>
        <w:t xml:space="preserve">　　（一）將第</w:t>
      </w:r>
      <w:hyperlink r:id="rId22" w:anchor="a25" w:history="1">
        <w:r w:rsidRPr="000E74EF">
          <w:rPr>
            <w:rStyle w:val="a3"/>
            <w:rFonts w:ascii="Arial Unicode MS" w:hAnsi="Arial Unicode MS" w:hint="eastAsia"/>
          </w:rPr>
          <w:t>二十五</w:t>
        </w:r>
      </w:hyperlink>
      <w:r w:rsidRPr="007155A9">
        <w:rPr>
          <w:rFonts w:ascii="Arial Unicode MS" w:hAnsi="Arial Unicode MS" w:hint="eastAsia"/>
        </w:rPr>
        <w:t>條修改為：“護堤護岸的林木，由河道、湖泊管理機構組織營造和管理。護堤護岸林木，不得任意砍伐。採伐護堤護岸林木的，應當依法辦理採伐許可手續，並完成規定的更新補種任務。”</w:t>
      </w:r>
    </w:p>
    <w:p w14:paraId="158E5F74" w14:textId="77777777" w:rsidR="009043D9" w:rsidRDefault="007155A9" w:rsidP="007155A9">
      <w:pPr>
        <w:ind w:leftChars="75" w:left="150"/>
        <w:jc w:val="both"/>
        <w:rPr>
          <w:rFonts w:ascii="Arial Unicode MS" w:hAnsi="Arial Unicode MS"/>
        </w:rPr>
      </w:pPr>
      <w:r w:rsidRPr="007155A9">
        <w:rPr>
          <w:rFonts w:ascii="Arial Unicode MS" w:hAnsi="Arial Unicode MS" w:hint="eastAsia"/>
        </w:rPr>
        <w:t xml:space="preserve">　　（二）將第</w:t>
      </w:r>
      <w:hyperlink r:id="rId23" w:anchor="a34" w:history="1">
        <w:r w:rsidRPr="000E74EF">
          <w:rPr>
            <w:rStyle w:val="a3"/>
            <w:rFonts w:ascii="Arial Unicode MS" w:hAnsi="Arial Unicode MS" w:hint="eastAsia"/>
          </w:rPr>
          <w:t>三十四</w:t>
        </w:r>
      </w:hyperlink>
      <w:r w:rsidRPr="007155A9">
        <w:rPr>
          <w:rFonts w:ascii="Arial Unicode MS" w:hAnsi="Arial Unicode MS" w:hint="eastAsia"/>
        </w:rPr>
        <w:t>條第三款修改為：“城市建設不得擅自填堵原有河道溝叉、貯水湖塘窪澱和廢除原有防洪圍堤。確需填堵或者廢除的，應當經城市人民政府批准。”</w:t>
      </w:r>
    </w:p>
    <w:p w14:paraId="11F09626" w14:textId="77777777" w:rsidR="007155A9" w:rsidRPr="00B95B24" w:rsidRDefault="007155A9" w:rsidP="00436341">
      <w:pPr>
        <w:pStyle w:val="2"/>
        <w:spacing w:beforeLines="30" w:before="108" w:beforeAutospacing="0" w:afterLines="30" w:after="108" w:afterAutospacing="0"/>
        <w:rPr>
          <w:b w:val="0"/>
        </w:rPr>
      </w:pPr>
      <w:bookmarkStart w:id="8" w:name="a6"/>
      <w:bookmarkEnd w:id="8"/>
      <w:r w:rsidRPr="00B95B24">
        <w:rPr>
          <w:rFonts w:hint="eastAsia"/>
          <w:b w:val="0"/>
        </w:rPr>
        <w:t>六、對《</w:t>
      </w:r>
      <w:hyperlink r:id="rId24" w:history="1">
        <w:r w:rsidRPr="00B95B24">
          <w:rPr>
            <w:rStyle w:val="a3"/>
            <w:rFonts w:ascii="Arial Unicode MS" w:hAnsi="Arial Unicode MS" w:hint="eastAsia"/>
            <w:b w:val="0"/>
          </w:rPr>
          <w:t>中華人民共和國證券投資基金法</w:t>
        </w:r>
      </w:hyperlink>
      <w:r w:rsidRPr="00B95B24">
        <w:rPr>
          <w:rFonts w:hint="eastAsia"/>
          <w:b w:val="0"/>
        </w:rPr>
        <w:t>》作出修改刪去第十七條。</w:t>
      </w:r>
    </w:p>
    <w:p w14:paraId="55BCE6D7" w14:textId="77777777" w:rsidR="009043D9" w:rsidRPr="007155A9" w:rsidRDefault="009043D9" w:rsidP="007155A9">
      <w:pPr>
        <w:ind w:leftChars="75" w:left="150"/>
        <w:jc w:val="both"/>
        <w:rPr>
          <w:rFonts w:ascii="Arial Unicode MS" w:hAnsi="Arial Unicode MS"/>
        </w:rPr>
      </w:pPr>
    </w:p>
    <w:p w14:paraId="4AF09CAF" w14:textId="77777777" w:rsidR="009043D9" w:rsidRPr="00C200CB" w:rsidRDefault="007155A9" w:rsidP="00436341">
      <w:pPr>
        <w:pStyle w:val="2"/>
        <w:spacing w:beforeLines="30" w:before="108" w:beforeAutospacing="0" w:afterLines="30" w:after="108" w:afterAutospacing="0"/>
        <w:rPr>
          <w:b w:val="0"/>
        </w:rPr>
      </w:pPr>
      <w:bookmarkStart w:id="9" w:name="a7"/>
      <w:bookmarkEnd w:id="9"/>
      <w:r w:rsidRPr="00C200CB">
        <w:rPr>
          <w:rFonts w:hint="eastAsia"/>
          <w:b w:val="0"/>
        </w:rPr>
        <w:t>七、對《</w:t>
      </w:r>
      <w:hyperlink r:id="rId25" w:history="1">
        <w:r w:rsidRPr="00C200CB">
          <w:rPr>
            <w:rStyle w:val="a3"/>
            <w:rFonts w:ascii="Arial Unicode MS" w:hAnsi="Arial Unicode MS" w:hint="eastAsia"/>
            <w:b w:val="0"/>
          </w:rPr>
          <w:t>中華人民共和國城鄉規劃法</w:t>
        </w:r>
      </w:hyperlink>
      <w:r w:rsidRPr="00C200CB">
        <w:rPr>
          <w:rFonts w:hint="eastAsia"/>
          <w:b w:val="0"/>
        </w:rPr>
        <w:t>》作出修改</w:t>
      </w:r>
    </w:p>
    <w:p w14:paraId="0BB7CE2D" w14:textId="77777777" w:rsidR="007155A9" w:rsidRPr="007155A9" w:rsidRDefault="009043D9" w:rsidP="007155A9">
      <w:pPr>
        <w:ind w:leftChars="75" w:left="150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="007155A9" w:rsidRPr="007155A9">
        <w:rPr>
          <w:rFonts w:ascii="Arial Unicode MS" w:hAnsi="Arial Unicode MS" w:hint="eastAsia"/>
        </w:rPr>
        <w:t>將第</w:t>
      </w:r>
      <w:hyperlink r:id="rId26" w:anchor="a24" w:history="1">
        <w:r w:rsidR="007155A9" w:rsidRPr="00072A90">
          <w:rPr>
            <w:rStyle w:val="a3"/>
            <w:rFonts w:ascii="Arial Unicode MS" w:hAnsi="Arial Unicode MS" w:hint="eastAsia"/>
          </w:rPr>
          <w:t>二十四</w:t>
        </w:r>
      </w:hyperlink>
      <w:r w:rsidR="007155A9" w:rsidRPr="007155A9">
        <w:rPr>
          <w:rFonts w:ascii="Arial Unicode MS" w:hAnsi="Arial Unicode MS" w:hint="eastAsia"/>
        </w:rPr>
        <w:t>條第二款第二項修改為：“（二）有規定數量的經相關行業協會註冊的規劃師”。</w:t>
      </w:r>
    </w:p>
    <w:p w14:paraId="256D5DB4" w14:textId="77777777" w:rsidR="007155A9" w:rsidRPr="007155A9" w:rsidRDefault="007155A9" w:rsidP="007155A9">
      <w:pPr>
        <w:ind w:leftChars="75" w:left="150"/>
        <w:jc w:val="both"/>
        <w:rPr>
          <w:rFonts w:ascii="Arial Unicode MS" w:hAnsi="Arial Unicode MS"/>
        </w:rPr>
      </w:pPr>
      <w:r w:rsidRPr="007155A9">
        <w:rPr>
          <w:rFonts w:ascii="Arial Unicode MS" w:hAnsi="Arial Unicode MS" w:hint="eastAsia"/>
        </w:rPr>
        <w:t xml:space="preserve">　　刪去第三款。</w:t>
      </w:r>
    </w:p>
    <w:p w14:paraId="6FB0958F" w14:textId="77777777" w:rsidR="009043D9" w:rsidRDefault="009043D9" w:rsidP="007155A9">
      <w:pPr>
        <w:ind w:leftChars="75" w:left="150"/>
        <w:jc w:val="both"/>
        <w:rPr>
          <w:rFonts w:ascii="Arial Unicode MS" w:hAnsi="Arial Unicode MS"/>
        </w:rPr>
      </w:pPr>
    </w:p>
    <w:p w14:paraId="6466809D" w14:textId="77777777" w:rsidR="007155A9" w:rsidRPr="007155A9" w:rsidRDefault="007155A9" w:rsidP="007155A9">
      <w:pPr>
        <w:ind w:leftChars="75" w:left="150"/>
        <w:jc w:val="both"/>
        <w:rPr>
          <w:rFonts w:ascii="Arial Unicode MS" w:hAnsi="Arial Unicode MS"/>
        </w:rPr>
      </w:pPr>
      <w:r w:rsidRPr="007155A9">
        <w:rPr>
          <w:rFonts w:ascii="Arial Unicode MS" w:hAnsi="Arial Unicode MS" w:hint="eastAsia"/>
        </w:rPr>
        <w:t xml:space="preserve">　　本決定自公佈之日起施行。</w:t>
      </w:r>
    </w:p>
    <w:p w14:paraId="4B60F601" w14:textId="77777777" w:rsidR="00B2293B" w:rsidRDefault="007155A9" w:rsidP="007155A9">
      <w:pPr>
        <w:ind w:leftChars="75" w:left="150"/>
        <w:jc w:val="both"/>
        <w:rPr>
          <w:rFonts w:ascii="Arial Unicode MS" w:hAnsi="Arial Unicode MS"/>
        </w:rPr>
      </w:pPr>
      <w:r w:rsidRPr="007155A9">
        <w:rPr>
          <w:rFonts w:ascii="Arial Unicode MS" w:hAnsi="Arial Unicode MS" w:hint="eastAsia"/>
        </w:rPr>
        <w:t xml:space="preserve">　　《中華人民共和國港口法》、《中華人民共和國稅收徵收管理法》、《中華人民共和國固體廢物污染環境防治法》、《中華人民共和國槍支管理法》、《中華人民共和國防洪法》、《中華人民共和國證券投資基金法》、《中華人民共和國城鄉規劃法》根據本決定作相應修改，重新公佈。</w:t>
      </w:r>
    </w:p>
    <w:p w14:paraId="61CA5E93" w14:textId="77777777" w:rsidR="00B2293B" w:rsidRPr="00E9022C" w:rsidRDefault="00B2293B" w:rsidP="005D7873">
      <w:pPr>
        <w:ind w:leftChars="75" w:left="150"/>
        <w:jc w:val="both"/>
        <w:rPr>
          <w:rFonts w:ascii="Arial Unicode MS" w:hAnsi="Arial Unicode MS"/>
        </w:rPr>
      </w:pPr>
    </w:p>
    <w:p w14:paraId="2B9B21EB" w14:textId="77777777" w:rsidR="001635EA" w:rsidRPr="00E9022C" w:rsidRDefault="001635EA" w:rsidP="005D7873">
      <w:pPr>
        <w:ind w:leftChars="75" w:left="150"/>
        <w:jc w:val="both"/>
        <w:rPr>
          <w:rFonts w:ascii="Arial Unicode MS" w:hAnsi="Arial Unicode MS"/>
        </w:rPr>
      </w:pPr>
    </w:p>
    <w:p w14:paraId="7BC27AD0" w14:textId="77777777" w:rsidR="000A44C5" w:rsidRPr="00C1655B" w:rsidRDefault="000A44C5" w:rsidP="000A44C5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</w:t>
        </w:r>
        <w:r w:rsidRPr="00C1655B">
          <w:rPr>
            <w:rStyle w:val="a3"/>
            <w:rFonts w:ascii="Arial Unicode MS" w:hAnsi="Arial Unicode MS" w:hint="eastAsia"/>
            <w:sz w:val="18"/>
          </w:rPr>
          <w:t>首</w:t>
        </w:r>
        <w:r w:rsidRPr="00C1655B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6EEE79DE" w14:textId="77777777" w:rsidR="000A44C5" w:rsidRPr="00C06F22" w:rsidRDefault="000A44C5" w:rsidP="000A44C5">
      <w:pPr>
        <w:jc w:val="both"/>
      </w:pPr>
      <w:r w:rsidRPr="003D460F">
        <w:rPr>
          <w:rFonts w:hint="eastAsia"/>
          <w:color w:val="5F5F5F"/>
          <w:sz w:val="18"/>
          <w:szCs w:val="18"/>
        </w:rPr>
        <w:t>【編註】本檔法規資料以</w:t>
      </w:r>
      <w:r w:rsidRPr="003D460F">
        <w:rPr>
          <w:rFonts w:hint="eastAsia"/>
          <w:color w:val="5F5F5F"/>
          <w:sz w:val="18"/>
          <w:szCs w:val="18"/>
          <w:lang w:eastAsia="zh-HK"/>
        </w:rPr>
        <w:t>官方</w:t>
      </w:r>
      <w:r w:rsidRPr="003D460F">
        <w:rPr>
          <w:rFonts w:hint="eastAsia"/>
          <w:color w:val="5F5F5F"/>
          <w:sz w:val="18"/>
          <w:szCs w:val="18"/>
        </w:rPr>
        <w:t>資訊網為依據；本文僅供參考，如需引用請以正式檔為準。如有發現待更正部份及您所需本站未收編之法規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27" w:history="1">
        <w:r w:rsidRPr="00327226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14:paraId="44165812" w14:textId="77777777" w:rsidR="00201E46" w:rsidRPr="00E9022C" w:rsidRDefault="00201E46">
      <w:pPr>
        <w:rPr>
          <w:rFonts w:ascii="Arial Unicode MS" w:hAnsi="Arial Unicode MS"/>
        </w:rPr>
      </w:pPr>
    </w:p>
    <w:sectPr w:rsidR="00201E46" w:rsidRPr="00E9022C">
      <w:footerReference w:type="even" r:id="rId28"/>
      <w:footerReference w:type="default" r:id="rId29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55088" w14:textId="77777777" w:rsidR="00543CF0" w:rsidRDefault="00543CF0">
      <w:r>
        <w:separator/>
      </w:r>
    </w:p>
  </w:endnote>
  <w:endnote w:type="continuationSeparator" w:id="0">
    <w:p w14:paraId="128CB348" w14:textId="77777777" w:rsidR="00543CF0" w:rsidRDefault="0054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9000D" w14:textId="77777777" w:rsidR="00626027" w:rsidRDefault="006260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F3D495" w14:textId="77777777" w:rsidR="00626027" w:rsidRDefault="0062602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A7BFB" w14:textId="77777777" w:rsidR="00626027" w:rsidRDefault="006260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4412">
      <w:rPr>
        <w:rStyle w:val="a7"/>
        <w:noProof/>
      </w:rPr>
      <w:t>1</w:t>
    </w:r>
    <w:r>
      <w:rPr>
        <w:rStyle w:val="a7"/>
      </w:rPr>
      <w:fldChar w:fldCharType="end"/>
    </w:r>
  </w:p>
  <w:p w14:paraId="00E313E5" w14:textId="7427B5CE" w:rsidR="00626027" w:rsidRPr="00177DCB" w:rsidRDefault="00640F65" w:rsidP="001635EA">
    <w:pPr>
      <w:pStyle w:val="a6"/>
      <w:ind w:right="360"/>
      <w:jc w:val="right"/>
      <w:rPr>
        <w:rFonts w:ascii="Arial Unicode MS" w:hAnsi="Arial Unicode MS"/>
      </w:rPr>
    </w:pPr>
    <w:r w:rsidRPr="00640F65">
      <w:rPr>
        <w:rFonts w:ascii="Arial Unicode MS" w:hAnsi="Arial Unicode MS"/>
        <w:sz w:val="18"/>
        <w:szCs w:val="18"/>
      </w:rPr>
      <w:t>〈〈</w:t>
    </w:r>
    <w:r w:rsidR="00374E71" w:rsidRPr="00640F65">
      <w:rPr>
        <w:rFonts w:hint="eastAsia"/>
        <w:sz w:val="18"/>
      </w:rPr>
      <w:t>全國人民代表大會常務委員會關於修改〈中華人民共和國港口法〉等七部法律的決定</w:t>
    </w:r>
    <w:r w:rsidRPr="00640F65">
      <w:rPr>
        <w:rFonts w:ascii="Arial Unicode MS" w:hAnsi="Arial Unicode MS"/>
        <w:sz w:val="18"/>
        <w:szCs w:val="18"/>
      </w:rPr>
      <w:t>〉〉</w:t>
    </w:r>
    <w:r w:rsidR="001635EA" w:rsidRPr="00640F65">
      <w:rPr>
        <w:rFonts w:ascii="Arial Unicode MS" w:hAnsi="Arial Unicode MS"/>
        <w:sz w:val="18"/>
        <w:szCs w:val="18"/>
      </w:rPr>
      <w:t>S-link</w:t>
    </w:r>
    <w:r w:rsidR="001635EA" w:rsidRPr="00640F65">
      <w:rPr>
        <w:rFonts w:ascii="Arial Unicode MS" w:hAnsi="Arial Unicode MS" w:cs="新細明體" w:hint="eastAsia"/>
        <w:sz w:val="18"/>
        <w:szCs w:val="18"/>
      </w:rPr>
      <w:t>電子六法</w:t>
    </w:r>
    <w:r w:rsidR="001635EA" w:rsidRPr="00177DCB">
      <w:rPr>
        <w:rFonts w:ascii="Arial Unicode MS" w:hAnsi="Arial Unicode MS" w:cs="新細明體" w:hint="eastAsia"/>
        <w:sz w:val="18"/>
        <w:szCs w:val="18"/>
      </w:rPr>
      <w:t>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D0E62" w14:textId="77777777" w:rsidR="00543CF0" w:rsidRDefault="00543CF0">
      <w:r>
        <w:separator/>
      </w:r>
    </w:p>
  </w:footnote>
  <w:footnote w:type="continuationSeparator" w:id="0">
    <w:p w14:paraId="5F6B4CB8" w14:textId="77777777" w:rsidR="00543CF0" w:rsidRDefault="0054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5AD8"/>
    <w:multiLevelType w:val="hybridMultilevel"/>
    <w:tmpl w:val="42541986"/>
    <w:lvl w:ilvl="0" w:tplc="2B107502">
      <w:start w:val="3"/>
      <w:numFmt w:val="taiwaneseCountingThousand"/>
      <w:lvlText w:val="第%1章"/>
      <w:lvlJc w:val="left"/>
      <w:pPr>
        <w:tabs>
          <w:tab w:val="num" w:pos="1358"/>
        </w:tabs>
        <w:ind w:left="1358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8"/>
        </w:tabs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8"/>
        </w:tabs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8"/>
        </w:tabs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8"/>
        </w:tabs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8"/>
        </w:tabs>
        <w:ind w:left="4718" w:hanging="480"/>
      </w:pPr>
    </w:lvl>
  </w:abstractNum>
  <w:abstractNum w:abstractNumId="1" w15:restartNumberingAfterBreak="0">
    <w:nsid w:val="32191FC3"/>
    <w:multiLevelType w:val="hybridMultilevel"/>
    <w:tmpl w:val="9F32C358"/>
    <w:lvl w:ilvl="0" w:tplc="FDAEC0DE">
      <w:start w:val="2"/>
      <w:numFmt w:val="taiwaneseCountingThousand"/>
      <w:lvlText w:val="第%1章"/>
      <w:lvlJc w:val="left"/>
      <w:pPr>
        <w:tabs>
          <w:tab w:val="num" w:pos="1380"/>
        </w:tabs>
        <w:ind w:left="13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3AD53E25"/>
    <w:multiLevelType w:val="hybridMultilevel"/>
    <w:tmpl w:val="8B16444C"/>
    <w:lvl w:ilvl="0" w:tplc="2B107502">
      <w:start w:val="3"/>
      <w:numFmt w:val="taiwaneseCountingThousand"/>
      <w:lvlText w:val="第%1章"/>
      <w:lvlJc w:val="left"/>
      <w:pPr>
        <w:tabs>
          <w:tab w:val="num" w:pos="1958"/>
        </w:tabs>
        <w:ind w:left="1958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 w15:restartNumberingAfterBreak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E46"/>
    <w:rsid w:val="0005486F"/>
    <w:rsid w:val="00072A90"/>
    <w:rsid w:val="0009697B"/>
    <w:rsid w:val="000A44C5"/>
    <w:rsid w:val="000E74EF"/>
    <w:rsid w:val="000F1F46"/>
    <w:rsid w:val="001635EA"/>
    <w:rsid w:val="00172209"/>
    <w:rsid w:val="00177DCB"/>
    <w:rsid w:val="001974AB"/>
    <w:rsid w:val="00201E46"/>
    <w:rsid w:val="002304A2"/>
    <w:rsid w:val="0023765D"/>
    <w:rsid w:val="00273668"/>
    <w:rsid w:val="00296040"/>
    <w:rsid w:val="0030009C"/>
    <w:rsid w:val="00334965"/>
    <w:rsid w:val="003365FD"/>
    <w:rsid w:val="00353BEA"/>
    <w:rsid w:val="00362C6F"/>
    <w:rsid w:val="00374E71"/>
    <w:rsid w:val="003906B2"/>
    <w:rsid w:val="003D1419"/>
    <w:rsid w:val="003F13C2"/>
    <w:rsid w:val="003F1567"/>
    <w:rsid w:val="00434439"/>
    <w:rsid w:val="00436341"/>
    <w:rsid w:val="004528B7"/>
    <w:rsid w:val="00514F72"/>
    <w:rsid w:val="00537188"/>
    <w:rsid w:val="00543CF0"/>
    <w:rsid w:val="0057446C"/>
    <w:rsid w:val="005B4CC0"/>
    <w:rsid w:val="005D7873"/>
    <w:rsid w:val="005F646B"/>
    <w:rsid w:val="00626027"/>
    <w:rsid w:val="00640F65"/>
    <w:rsid w:val="007155A9"/>
    <w:rsid w:val="00797FAF"/>
    <w:rsid w:val="007B3157"/>
    <w:rsid w:val="00806947"/>
    <w:rsid w:val="0082022B"/>
    <w:rsid w:val="0083478A"/>
    <w:rsid w:val="00837583"/>
    <w:rsid w:val="00850D69"/>
    <w:rsid w:val="0087702E"/>
    <w:rsid w:val="008829E0"/>
    <w:rsid w:val="008D6226"/>
    <w:rsid w:val="008F7B9F"/>
    <w:rsid w:val="009043D9"/>
    <w:rsid w:val="00911C69"/>
    <w:rsid w:val="00996A7D"/>
    <w:rsid w:val="009A2035"/>
    <w:rsid w:val="00A00E54"/>
    <w:rsid w:val="00A101CC"/>
    <w:rsid w:val="00AB02D1"/>
    <w:rsid w:val="00AC493C"/>
    <w:rsid w:val="00B2293B"/>
    <w:rsid w:val="00B76109"/>
    <w:rsid w:val="00B90155"/>
    <w:rsid w:val="00B95B24"/>
    <w:rsid w:val="00BA702B"/>
    <w:rsid w:val="00BA7B85"/>
    <w:rsid w:val="00BB4412"/>
    <w:rsid w:val="00C200CB"/>
    <w:rsid w:val="00C2437D"/>
    <w:rsid w:val="00D44AB2"/>
    <w:rsid w:val="00D54DAF"/>
    <w:rsid w:val="00DC51B7"/>
    <w:rsid w:val="00E11CF3"/>
    <w:rsid w:val="00E62DF0"/>
    <w:rsid w:val="00E67692"/>
    <w:rsid w:val="00E9022C"/>
    <w:rsid w:val="00EE6475"/>
    <w:rsid w:val="00EF293B"/>
    <w:rsid w:val="00F55040"/>
    <w:rsid w:val="00F80386"/>
    <w:rsid w:val="00F8152E"/>
    <w:rsid w:val="00F86C8B"/>
    <w:rsid w:val="00F93722"/>
    <w:rsid w:val="00F96907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80687C"/>
  <w15:docId w15:val="{81E6E77F-9A30-48A7-B738-232FD202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334965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5D7873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9043D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sid w:val="00514F72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Document Map"/>
    <w:basedOn w:val="a"/>
    <w:link w:val="a9"/>
    <w:rsid w:val="003F156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3F1567"/>
    <w:rPr>
      <w:rFonts w:ascii="新細明體" w:hAnsi="新細明體"/>
      <w:kern w:val="2"/>
      <w:szCs w:val="18"/>
    </w:rPr>
  </w:style>
  <w:style w:type="character" w:customStyle="1" w:styleId="20">
    <w:name w:val="標題 2 字元"/>
    <w:link w:val="2"/>
    <w:rsid w:val="005D7873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a">
    <w:name w:val="Balloon Text"/>
    <w:basedOn w:val="a"/>
    <w:link w:val="ab"/>
    <w:rsid w:val="00904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043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043D9"/>
    <w:pPr>
      <w:ind w:leftChars="200" w:left="480"/>
    </w:pPr>
  </w:style>
  <w:style w:type="character" w:customStyle="1" w:styleId="30">
    <w:name w:val="標題 3 字元"/>
    <w:basedOn w:val="a0"/>
    <w:link w:val="3"/>
    <w:rsid w:val="009043D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d">
    <w:name w:val="Unresolved Mention"/>
    <w:basedOn w:val="a0"/>
    <w:uiPriority w:val="99"/>
    <w:semiHidden/>
    <w:unhideWhenUsed/>
    <w:rsid w:val="00640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laws.net/update.htm" TargetMode="External"/><Relationship Id="rId13" Type="http://schemas.openxmlformats.org/officeDocument/2006/relationships/hyperlink" Target="&#20013;&#33775;&#20154;&#27665;&#20849;&#21644;&#22283;&#28207;&#21475;&#27861;.docx" TargetMode="External"/><Relationship Id="rId18" Type="http://schemas.openxmlformats.org/officeDocument/2006/relationships/hyperlink" Target="&#20013;&#33775;&#20154;&#27665;&#20849;&#21644;&#22283;&#22266;&#39636;&#24290;&#29289;&#27745;&#26579;&#29872;&#22659;&#38450;&#27835;&#27861;.docx" TargetMode="External"/><Relationship Id="rId26" Type="http://schemas.openxmlformats.org/officeDocument/2006/relationships/hyperlink" Target="&#20013;&#33775;&#20154;&#27665;&#20849;&#21644;&#22283;&#22478;&#37129;&#35215;&#21123;&#27861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&#20013;&#33775;&#20154;&#27665;&#20849;&#21644;&#22283;&#38450;&#27946;&#27861;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6laws.net/6law/law-gb/&#20840;&#22283;&#20154;&#27665;&#20195;&#34920;&#22823;&#26371;&#24120;&#21209;&#22996;&#21729;&#26371;&#38364;&#26044;&#20462;&#25913;&#12296;&#20013;&#33775;&#20154;&#27665;&#20849;&#21644;&#22283;&#28207;&#21475;&#27861;&#12297;&#31561;&#19971;&#37096;&#27861;&#24459;&#30340;&#27770;&#23450;.htm" TargetMode="External"/><Relationship Id="rId17" Type="http://schemas.openxmlformats.org/officeDocument/2006/relationships/hyperlink" Target="&#20013;&#33775;&#20154;&#27665;&#20849;&#21644;&#22283;&#22266;&#39636;&#24290;&#29289;&#27745;&#26579;&#29872;&#22659;&#38450;&#27835;&#27861;.docx" TargetMode="External"/><Relationship Id="rId25" Type="http://schemas.openxmlformats.org/officeDocument/2006/relationships/hyperlink" Target="&#20013;&#33775;&#20154;&#27665;&#20849;&#21644;&#22283;&#22478;&#37129;&#35215;&#21123;&#27861;.docx" TargetMode="External"/><Relationship Id="rId2" Type="http://schemas.openxmlformats.org/officeDocument/2006/relationships/styles" Target="styles.xml"/><Relationship Id="rId16" Type="http://schemas.openxmlformats.org/officeDocument/2006/relationships/hyperlink" Target="&#20013;&#33775;&#20154;&#27665;&#20849;&#21644;&#22283;&#31237;&#25910;&#24501;&#25910;&#31649;&#29702;&#27861;.docx" TargetMode="External"/><Relationship Id="rId20" Type="http://schemas.openxmlformats.org/officeDocument/2006/relationships/hyperlink" Target="&#20013;&#33775;&#20154;&#27665;&#20849;&#21644;&#22283;&#27085;&#25903;&#31649;&#29702;&#27861;.docx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S-link&#22823;&#38520;&#27861;&#35215;&#32034;&#24341;.docx" TargetMode="External"/><Relationship Id="rId24" Type="http://schemas.openxmlformats.org/officeDocument/2006/relationships/hyperlink" Target="&#20013;&#33775;&#20154;&#27665;&#20849;&#21644;&#22283;&#35657;&#21048;&#25237;&#36039;&#22522;&#37329;&#27861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&#20013;&#33775;&#20154;&#27665;&#20849;&#21644;&#22283;&#31237;&#25910;&#24501;&#25910;&#31649;&#29702;&#27861;.docx" TargetMode="External"/><Relationship Id="rId23" Type="http://schemas.openxmlformats.org/officeDocument/2006/relationships/hyperlink" Target="&#20013;&#33775;&#20154;&#27665;&#20849;&#21644;&#22283;&#38450;&#27946;&#27861;.docx" TargetMode="External"/><Relationship Id="rId28" Type="http://schemas.openxmlformats.org/officeDocument/2006/relationships/footer" Target="footer1.xml"/><Relationship Id="rId10" Type="http://schemas.openxmlformats.org/officeDocument/2006/relationships/hyperlink" Target="../S-link&#38651;&#23376;&#20845;&#27861;&#32317;&#32034;&#24341;.docx" TargetMode="External"/><Relationship Id="rId19" Type="http://schemas.openxmlformats.org/officeDocument/2006/relationships/hyperlink" Target="&#20013;&#33775;&#20154;&#27665;&#20849;&#21644;&#22283;&#27085;&#25903;&#31649;&#29702;&#27861;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nita6law" TargetMode="External"/><Relationship Id="rId14" Type="http://schemas.openxmlformats.org/officeDocument/2006/relationships/hyperlink" Target="&#20013;&#33775;&#20154;&#27665;&#20849;&#21644;&#22283;&#28207;&#21475;&#27861;.docx" TargetMode="External"/><Relationship Id="rId22" Type="http://schemas.openxmlformats.org/officeDocument/2006/relationships/hyperlink" Target="&#20013;&#33775;&#20154;&#27665;&#20849;&#21644;&#22283;&#38450;&#27946;&#27861;.docx" TargetMode="External"/><Relationship Id="rId27" Type="http://schemas.openxmlformats.org/officeDocument/2006/relationships/hyperlink" Target="https://www.6laws.net/comment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Links>
    <vt:vector size="114" baseType="variant">
      <vt:variant>
        <vt:i4>2949124</vt:i4>
      </vt:variant>
      <vt:variant>
        <vt:i4>54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6357089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3342433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a34</vt:lpwstr>
      </vt:variant>
      <vt:variant>
        <vt:i4>6357089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6357089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6357089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6357089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3342433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a35</vt:lpwstr>
      </vt:variant>
      <vt:variant>
        <vt:i4>3276897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a29</vt:lpwstr>
      </vt:variant>
      <vt:variant>
        <vt:i4>3211361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a19</vt:lpwstr>
      </vt:variant>
      <vt:variant>
        <vt:i4>3604577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a7</vt:lpwstr>
      </vt:variant>
      <vt:variant>
        <vt:i4>3211361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a1</vt:lpwstr>
      </vt:variant>
      <vt:variant>
        <vt:i4>-1568714189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http://www.6law.idv.tw/6law/law-gb/醫療器械監督管理條例.htm</vt:lpwstr>
      </vt:variant>
      <vt:variant>
        <vt:lpwstr/>
      </vt:variant>
      <vt:variant>
        <vt:i4>450028212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醫療器械監督管理條例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全國人民代表大會常務委員會關於修改〈中華人民共和國港口法〉等七部法律的決定</dc:title>
  <dc:creator>S-link 電子六法-黃婉玲</dc:creator>
  <cp:lastModifiedBy>黃婉玲 S-link電子六法</cp:lastModifiedBy>
  <cp:revision>22</cp:revision>
  <dcterms:created xsi:type="dcterms:W3CDTF">2017-09-30T05:57:00Z</dcterms:created>
  <dcterms:modified xsi:type="dcterms:W3CDTF">2019-10-11T15:26:00Z</dcterms:modified>
</cp:coreProperties>
</file>