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96477A" w:rsidRDefault="00C00150" w:rsidP="0058050C">
      <w:pPr>
        <w:adjustRightInd w:val="0"/>
        <w:snapToGrid w:val="0"/>
        <w:ind w:rightChars="8" w:right="16"/>
        <w:jc w:val="right"/>
        <w:rPr>
          <w:rFonts w:ascii="微軟正黑體" w:eastAsia="微軟正黑體" w:hAnsi="微軟正黑體"/>
        </w:rPr>
      </w:pPr>
      <w:r w:rsidRPr="0096477A">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7853D69" w:rsidR="0058050C" w:rsidRPr="0096477A"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96477A">
        <w:rPr>
          <w:rFonts w:ascii="微軟正黑體" w:eastAsia="微軟正黑體" w:hAnsi="微軟正黑體" w:hint="eastAsia"/>
          <w:color w:val="5F5F5F"/>
          <w:sz w:val="18"/>
          <w:szCs w:val="20"/>
          <w:lang w:val="zh-TW"/>
        </w:rPr>
        <w:t>【</w:t>
      </w:r>
      <w:hyperlink r:id="rId9" w:tgtFrame="_blank" w:history="1">
        <w:r w:rsidRPr="0096477A">
          <w:rPr>
            <w:rStyle w:val="a3"/>
            <w:rFonts w:ascii="微軟正黑體" w:eastAsia="微軟正黑體" w:hAnsi="微軟正黑體"/>
            <w:color w:val="5F5F5F"/>
            <w:sz w:val="18"/>
            <w:szCs w:val="20"/>
          </w:rPr>
          <w:t>更新</w:t>
        </w:r>
      </w:hyperlink>
      <w:r w:rsidRPr="0096477A">
        <w:rPr>
          <w:rFonts w:ascii="微軟正黑體" w:eastAsia="微軟正黑體" w:hAnsi="微軟正黑體" w:hint="eastAsia"/>
          <w:color w:val="7F7F7F"/>
          <w:sz w:val="18"/>
          <w:szCs w:val="20"/>
          <w:lang w:val="zh-TW"/>
        </w:rPr>
        <w:t>】</w:t>
      </w:r>
      <w:bookmarkStart w:id="1" w:name="_Hlk67060303"/>
      <w:r w:rsidR="00000D42" w:rsidRPr="0096477A">
        <w:rPr>
          <w:rFonts w:ascii="Segoe UI Emoji" w:eastAsia="微軟正黑體" w:hAnsi="Segoe UI Emoji" w:cs="Segoe UI Emoji"/>
          <w:kern w:val="0"/>
          <w:sz w:val="18"/>
          <w:lang w:eastAsia="zh-CN"/>
        </w:rPr>
        <w:t>⏰</w:t>
      </w:r>
      <w:bookmarkEnd w:id="1"/>
      <w:r w:rsidR="00B13E1C" w:rsidRPr="000D2804">
        <w:rPr>
          <w:sz w:val="18"/>
        </w:rPr>
        <w:t>2021/12/20</w:t>
      </w:r>
      <w:r w:rsidRPr="0096477A">
        <w:rPr>
          <w:rFonts w:ascii="微軟正黑體" w:eastAsia="微軟正黑體" w:hAnsi="微軟正黑體" w:hint="eastAsia"/>
          <w:color w:val="7F7F7F"/>
          <w:sz w:val="18"/>
          <w:szCs w:val="20"/>
          <w:lang w:val="zh-TW"/>
        </w:rPr>
        <w:t>【</w:t>
      </w:r>
      <w:r w:rsidRPr="0096477A">
        <w:rPr>
          <w:rFonts w:ascii="微軟正黑體" w:eastAsia="微軟正黑體" w:hAnsi="微軟正黑體" w:hint="eastAsia"/>
          <w:color w:val="7F7F7F"/>
          <w:sz w:val="18"/>
          <w:szCs w:val="20"/>
        </w:rPr>
        <w:t>編輯著作權者</w:t>
      </w:r>
      <w:r w:rsidRPr="0096477A">
        <w:rPr>
          <w:rFonts w:ascii="微軟正黑體" w:eastAsia="微軟正黑體" w:hAnsi="微軟正黑體" w:hint="eastAsia"/>
          <w:color w:val="7F7F7F"/>
          <w:sz w:val="18"/>
          <w:szCs w:val="20"/>
          <w:lang w:val="zh-TW"/>
        </w:rPr>
        <w:t>】</w:t>
      </w:r>
      <w:hyperlink r:id="rId10" w:tgtFrame="_blank" w:history="1">
        <w:r w:rsidRPr="0096477A">
          <w:rPr>
            <w:rStyle w:val="a3"/>
            <w:rFonts w:ascii="微軟正黑體" w:eastAsia="微軟正黑體" w:hAnsi="微軟正黑體"/>
            <w:sz w:val="18"/>
            <w:szCs w:val="20"/>
          </w:rPr>
          <w:t>黃婉玲</w:t>
        </w:r>
      </w:hyperlink>
    </w:p>
    <w:p w14:paraId="5CA6890B" w14:textId="68FE8D55" w:rsidR="0058050C" w:rsidRPr="0096477A" w:rsidRDefault="00000D42" w:rsidP="00000D42">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96477A">
        <w:rPr>
          <w:rFonts w:ascii="微軟正黑體" w:eastAsia="微軟正黑體" w:hAnsi="微軟正黑體" w:hint="eastAsia"/>
          <w:color w:val="5F5F5F"/>
          <w:sz w:val="18"/>
          <w:szCs w:val="20"/>
        </w:rPr>
        <w:t>（建議使用工具列--〉檢視--〉文件引導模式/</w:t>
      </w:r>
      <w:hyperlink r:id="rId11" w:history="1">
        <w:r w:rsidRPr="00B13E1C">
          <w:rPr>
            <w:rStyle w:val="a3"/>
            <w:rFonts w:ascii="微軟正黑體" w:eastAsia="微軟正黑體" w:hAnsi="微軟正黑體" w:hint="eastAsia"/>
            <w:color w:val="5F5F5F"/>
            <w:sz w:val="18"/>
            <w:szCs w:val="20"/>
            <w:u w:val="none"/>
          </w:rPr>
          <w:t>功能窗格</w:t>
        </w:r>
      </w:hyperlink>
      <w:r w:rsidRPr="0096477A">
        <w:rPr>
          <w:rFonts w:ascii="微軟正黑體" w:eastAsia="微軟正黑體" w:hAnsi="微軟正黑體" w:hint="eastAsia"/>
          <w:color w:val="5F5F5F"/>
          <w:sz w:val="18"/>
          <w:szCs w:val="20"/>
        </w:rPr>
        <w:t>）</w:t>
      </w:r>
      <w:bookmarkEnd w:id="2"/>
      <w:bookmarkEnd w:id="3"/>
    </w:p>
    <w:p w14:paraId="7BE44C79" w14:textId="42A920DC" w:rsidR="0058050C" w:rsidRPr="0096477A" w:rsidRDefault="00D61885" w:rsidP="0058050C">
      <w:pPr>
        <w:jc w:val="right"/>
        <w:rPr>
          <w:rFonts w:ascii="微軟正黑體" w:eastAsia="微軟正黑體" w:hAnsi="微軟正黑體"/>
          <w:b/>
          <w:color w:val="5F5F5F"/>
          <w:sz w:val="18"/>
        </w:rPr>
      </w:pPr>
      <w:hyperlink r:id="rId12" w:history="1">
        <w:r w:rsidR="0058050C" w:rsidRPr="0096477A">
          <w:rPr>
            <w:rFonts w:ascii="微軟正黑體" w:eastAsia="微軟正黑體" w:hAnsi="微軟正黑體" w:hint="eastAsia"/>
            <w:color w:val="808000"/>
            <w:sz w:val="18"/>
            <w:szCs w:val="20"/>
            <w:u w:val="single"/>
          </w:rPr>
          <w:t>S-link總索引</w:t>
        </w:r>
      </w:hyperlink>
      <w:r w:rsidR="0058050C" w:rsidRPr="0096477A">
        <w:rPr>
          <w:rFonts w:ascii="微軟正黑體" w:eastAsia="微軟正黑體" w:hAnsi="微軟正黑體" w:hint="eastAsia"/>
          <w:b/>
          <w:color w:val="808000"/>
          <w:sz w:val="18"/>
          <w:szCs w:val="20"/>
        </w:rPr>
        <w:t>〉〉</w:t>
      </w:r>
      <w:hyperlink r:id="rId13" w:anchor="中華人民共和國印花稅法" w:history="1">
        <w:r w:rsidR="0058050C" w:rsidRPr="0096477A">
          <w:rPr>
            <w:rStyle w:val="a3"/>
            <w:rFonts w:ascii="微軟正黑體" w:eastAsia="微軟正黑體" w:hAnsi="微軟正黑體" w:hint="eastAsia"/>
            <w:sz w:val="18"/>
          </w:rPr>
          <w:t>S-link大陸法規索引</w:t>
        </w:r>
      </w:hyperlink>
      <w:r w:rsidR="0058050C" w:rsidRPr="0096477A">
        <w:rPr>
          <w:rFonts w:ascii="微軟正黑體" w:eastAsia="微軟正黑體" w:hAnsi="微軟正黑體" w:hint="eastAsia"/>
          <w:b/>
          <w:color w:val="5F5F5F"/>
          <w:sz w:val="18"/>
        </w:rPr>
        <w:t>〉〉</w:t>
      </w:r>
      <w:hyperlink r:id="rId14" w:tgtFrame="_blank" w:history="1">
        <w:r w:rsidR="0058050C" w:rsidRPr="0096477A">
          <w:rPr>
            <w:rStyle w:val="a3"/>
            <w:rFonts w:ascii="微軟正黑體" w:eastAsia="微軟正黑體" w:hAnsi="微軟正黑體" w:hint="eastAsia"/>
            <w:sz w:val="18"/>
          </w:rPr>
          <w:t>線上網頁版</w:t>
        </w:r>
      </w:hyperlink>
      <w:r w:rsidR="0058050C" w:rsidRPr="0096477A">
        <w:rPr>
          <w:rFonts w:ascii="微軟正黑體" w:eastAsia="微軟正黑體" w:hAnsi="微軟正黑體" w:hint="eastAsia"/>
          <w:b/>
          <w:color w:val="5F5F5F"/>
          <w:sz w:val="18"/>
        </w:rPr>
        <w:t>〉〉</w:t>
      </w:r>
    </w:p>
    <w:p w14:paraId="0056CA3A" w14:textId="77777777" w:rsidR="0058050C" w:rsidRPr="0096477A" w:rsidRDefault="0058050C" w:rsidP="0058050C">
      <w:pPr>
        <w:jc w:val="right"/>
        <w:rPr>
          <w:rFonts w:ascii="微軟正黑體" w:eastAsia="微軟正黑體" w:hAnsi="微軟正黑體"/>
          <w:color w:val="000000"/>
          <w:u w:val="single"/>
        </w:rPr>
      </w:pPr>
    </w:p>
    <w:p w14:paraId="1C98C7BF" w14:textId="1D16CB1D" w:rsidR="0058050C" w:rsidRPr="0096477A" w:rsidRDefault="0058050C" w:rsidP="00D61885">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96477A">
        <w:rPr>
          <w:rFonts w:ascii="微軟正黑體" w:eastAsia="微軟正黑體" w:hAnsi="微軟正黑體"/>
          <w:b/>
          <w:bCs/>
          <w:color w:val="990000"/>
          <w:szCs w:val="20"/>
        </w:rPr>
        <w:t>【</w:t>
      </w:r>
      <w:r w:rsidR="004B7BDE" w:rsidRPr="0096477A">
        <w:rPr>
          <w:rFonts w:ascii="微軟正黑體" w:eastAsia="微軟正黑體" w:hAnsi="微軟正黑體" w:hint="eastAsia"/>
          <w:b/>
          <w:bCs/>
          <w:color w:val="990000"/>
          <w:szCs w:val="20"/>
        </w:rPr>
        <w:t>法律法規</w:t>
      </w:r>
      <w:r w:rsidRPr="0096477A">
        <w:rPr>
          <w:rFonts w:ascii="微軟正黑體" w:eastAsia="微軟正黑體" w:hAnsi="微軟正黑體"/>
          <w:b/>
          <w:bCs/>
          <w:color w:val="990000"/>
          <w:szCs w:val="20"/>
        </w:rPr>
        <w:t>】</w:t>
      </w:r>
      <w:r w:rsidR="0060173F" w:rsidRPr="0060173F">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中華人民共和國印花稅法</w:t>
      </w:r>
    </w:p>
    <w:p w14:paraId="6B12E0F5" w14:textId="77777777" w:rsidR="00F8415B" w:rsidRPr="00F8415B" w:rsidRDefault="00F8415B" w:rsidP="00D61885">
      <w:pPr>
        <w:tabs>
          <w:tab w:val="num" w:pos="960"/>
        </w:tabs>
        <w:adjustRightInd w:val="0"/>
        <w:snapToGrid w:val="0"/>
        <w:spacing w:after="50"/>
        <w:ind w:left="198" w:hanging="198"/>
        <w:jc w:val="both"/>
        <w:rPr>
          <w:rFonts w:ascii="微軟正黑體" w:eastAsia="微軟正黑體" w:hAnsi="微軟正黑體"/>
          <w:color w:val="333333"/>
        </w:rPr>
      </w:pPr>
      <w:r w:rsidRPr="00F8415B">
        <w:rPr>
          <w:rFonts w:ascii="微軟正黑體" w:eastAsia="微軟正黑體" w:hAnsi="微軟正黑體" w:hint="eastAsia"/>
          <w:b/>
          <w:color w:val="990000"/>
        </w:rPr>
        <w:t>【發布單位】</w:t>
      </w:r>
      <w:r w:rsidRPr="00F8415B">
        <w:rPr>
          <w:rFonts w:ascii="微軟正黑體" w:eastAsia="微軟正黑體" w:hAnsi="微軟正黑體" w:hint="eastAsia"/>
          <w:sz w:val="22"/>
        </w:rPr>
        <w:t>全國人民代表大會常務委員會</w:t>
      </w:r>
    </w:p>
    <w:p w14:paraId="4E4CF470" w14:textId="77777777" w:rsidR="00F8415B" w:rsidRPr="00962D8C" w:rsidRDefault="00F8415B" w:rsidP="00F8415B">
      <w:pPr>
        <w:tabs>
          <w:tab w:val="num" w:pos="960"/>
        </w:tabs>
        <w:jc w:val="both"/>
        <w:rPr>
          <w:rFonts w:ascii="微軟正黑體" w:eastAsia="微軟正黑體" w:hAnsi="微軟正黑體"/>
          <w:bCs/>
          <w:color w:val="333333"/>
          <w:szCs w:val="20"/>
        </w:rPr>
      </w:pPr>
      <w:r w:rsidRPr="00962D8C">
        <w:rPr>
          <w:rFonts w:ascii="微軟正黑體" w:eastAsia="微軟正黑體" w:hAnsi="微軟正黑體" w:hint="eastAsia"/>
          <w:b/>
          <w:color w:val="990000"/>
          <w:szCs w:val="20"/>
        </w:rPr>
        <w:t>【發布/修正】</w:t>
      </w:r>
      <w:r w:rsidRPr="00962D8C">
        <w:rPr>
          <w:rFonts w:ascii="微軟正黑體" w:eastAsia="微軟正黑體" w:hAnsi="微軟正黑體" w:hint="eastAsia"/>
          <w:bCs/>
          <w:color w:val="000000"/>
          <w:szCs w:val="20"/>
        </w:rPr>
        <w:t>2021年6月10日</w:t>
      </w:r>
    </w:p>
    <w:p w14:paraId="794A5A01" w14:textId="77777777" w:rsidR="00F8415B" w:rsidRPr="00962D8C" w:rsidRDefault="00F8415B" w:rsidP="00F8415B">
      <w:pPr>
        <w:ind w:left="1400" w:hangingChars="700" w:hanging="1400"/>
        <w:jc w:val="both"/>
        <w:rPr>
          <w:rFonts w:ascii="微軟正黑體" w:eastAsia="微軟正黑體" w:hAnsi="微軟正黑體"/>
          <w:szCs w:val="20"/>
        </w:rPr>
      </w:pPr>
      <w:r w:rsidRPr="00962D8C">
        <w:rPr>
          <w:rFonts w:ascii="微軟正黑體" w:eastAsia="微軟正黑體" w:hAnsi="微軟正黑體" w:hint="eastAsia"/>
          <w:b/>
          <w:color w:val="990000"/>
          <w:szCs w:val="20"/>
        </w:rPr>
        <w:t>【實施日期】</w:t>
      </w:r>
      <w:r w:rsidRPr="00962D8C">
        <w:rPr>
          <w:rFonts w:ascii="微軟正黑體" w:eastAsia="微軟正黑體" w:hAnsi="微軟正黑體" w:hint="eastAsia"/>
          <w:bCs/>
          <w:color w:val="000000"/>
          <w:szCs w:val="20"/>
        </w:rPr>
        <w:t>2022年7月1日</w:t>
      </w:r>
    </w:p>
    <w:p w14:paraId="346BD917" w14:textId="77777777" w:rsidR="00F8415B" w:rsidRPr="00F8415B" w:rsidRDefault="00F8415B" w:rsidP="00F8415B">
      <w:pPr>
        <w:pStyle w:val="1"/>
        <w:spacing w:beforeLines="30" w:before="108" w:beforeAutospacing="0" w:afterLines="30" w:after="108" w:afterAutospacing="0"/>
        <w:jc w:val="both"/>
        <w:rPr>
          <w:rFonts w:ascii="微軟正黑體" w:eastAsia="微軟正黑體" w:hAnsi="微軟正黑體"/>
          <w:color w:val="990000"/>
        </w:rPr>
      </w:pPr>
      <w:r w:rsidRPr="00F8415B">
        <w:rPr>
          <w:rFonts w:ascii="微軟正黑體" w:eastAsia="微軟正黑體" w:hAnsi="微軟正黑體" w:hint="eastAsia"/>
          <w:color w:val="990000"/>
        </w:rPr>
        <w:t>【法規沿革】</w:t>
      </w:r>
    </w:p>
    <w:p w14:paraId="28742398" w14:textId="77777777" w:rsidR="00F8415B" w:rsidRPr="00F8415B" w:rsidRDefault="00F8415B" w:rsidP="00F8415B">
      <w:pPr>
        <w:ind w:leftChars="59" w:left="118"/>
        <w:jc w:val="both"/>
        <w:rPr>
          <w:rFonts w:ascii="微軟正黑體" w:eastAsia="微軟正黑體" w:hAnsi="微軟正黑體"/>
          <w:bCs/>
          <w:color w:val="000000"/>
          <w:sz w:val="18"/>
        </w:rPr>
      </w:pPr>
      <w:r w:rsidRPr="000D2804">
        <w:rPr>
          <w:rFonts w:ascii="標楷體" w:eastAsia="標楷體" w:hAnsi="標楷體" w:hint="eastAsia"/>
          <w:bCs/>
          <w:color w:val="000000"/>
          <w:sz w:val="18"/>
        </w:rPr>
        <w:t>‧</w:t>
      </w:r>
      <w:r w:rsidRPr="00F8415B">
        <w:rPr>
          <w:rFonts w:ascii="微軟正黑體" w:eastAsia="微軟正黑體" w:hAnsi="微軟正黑體" w:hint="eastAsia"/>
          <w:bCs/>
          <w:color w:val="000000"/>
          <w:sz w:val="18"/>
        </w:rPr>
        <w:t>2021年6月10日中華人民共和國第十三屆全國人民代表大會常務委員會第二十九次會議於通過，自2022年7月1日起施行</w:t>
      </w:r>
    </w:p>
    <w:p w14:paraId="0A8648B3" w14:textId="77777777" w:rsidR="00F8415B" w:rsidRPr="00F8415B" w:rsidRDefault="00F8415B" w:rsidP="00F8415B">
      <w:pPr>
        <w:pStyle w:val="1"/>
        <w:jc w:val="both"/>
        <w:rPr>
          <w:rFonts w:ascii="微軟正黑體" w:eastAsia="微軟正黑體" w:hAnsi="微軟正黑體"/>
          <w:color w:val="990000"/>
          <w:szCs w:val="27"/>
        </w:rPr>
      </w:pPr>
      <w:r w:rsidRPr="00F8415B">
        <w:rPr>
          <w:rFonts w:ascii="微軟正黑體" w:eastAsia="微軟正黑體" w:hAnsi="微軟正黑體" w:hint="eastAsia"/>
          <w:color w:val="990000"/>
        </w:rPr>
        <w:t>【法規內容】</w:t>
      </w:r>
    </w:p>
    <w:p w14:paraId="5C9FC3A2" w14:textId="77777777" w:rsidR="00F8415B" w:rsidRPr="00F8415B" w:rsidRDefault="00F8415B" w:rsidP="00F8415B">
      <w:pPr>
        <w:pStyle w:val="2"/>
        <w:jc w:val="both"/>
        <w:rPr>
          <w:rFonts w:ascii="微軟正黑體" w:eastAsia="微軟正黑體" w:hAnsi="微軟正黑體"/>
        </w:rPr>
      </w:pPr>
      <w:bookmarkStart w:id="4" w:name="a1"/>
      <w:bookmarkEnd w:id="4"/>
      <w:r w:rsidRPr="00F8415B">
        <w:rPr>
          <w:rFonts w:ascii="微軟正黑體" w:eastAsia="微軟正黑體" w:hAnsi="微軟正黑體" w:hint="eastAsia"/>
        </w:rPr>
        <w:t>第1條</w:t>
      </w:r>
    </w:p>
    <w:p w14:paraId="7820F810" w14:textId="2C326AD4"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在中華人民共和國境內書立應稅憑證、進行證券交易的單位和個人，為印花稅的納稅人，應當依照本法規定繳納印花稅。</w:t>
      </w:r>
    </w:p>
    <w:p w14:paraId="23D97254" w14:textId="25B06662"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在中華人民共和國境外書立在境內使用的應稅憑證的單位和個人，應當依照本法規定繳納印花稅。</w:t>
      </w:r>
    </w:p>
    <w:p w14:paraId="6803C55F" w14:textId="77777777" w:rsidR="00F8415B" w:rsidRPr="00F8415B" w:rsidRDefault="00F8415B" w:rsidP="00F8415B">
      <w:pPr>
        <w:pStyle w:val="2"/>
        <w:jc w:val="both"/>
        <w:rPr>
          <w:rFonts w:ascii="微軟正黑體" w:eastAsia="微軟正黑體" w:hAnsi="微軟正黑體"/>
        </w:rPr>
      </w:pPr>
      <w:bookmarkStart w:id="5" w:name="a2"/>
      <w:bookmarkEnd w:id="5"/>
      <w:r w:rsidRPr="00F8415B">
        <w:rPr>
          <w:rFonts w:ascii="微軟正黑體" w:eastAsia="微軟正黑體" w:hAnsi="微軟正黑體" w:hint="eastAsia"/>
        </w:rPr>
        <w:t>第2條</w:t>
      </w:r>
    </w:p>
    <w:p w14:paraId="73B7CAF0" w14:textId="77DCE349"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本法所稱應稅憑證，是指本法所附</w:t>
      </w:r>
      <w:r w:rsidR="00C77EE4" w:rsidRPr="00F8415B">
        <w:rPr>
          <w:rFonts w:ascii="微軟正黑體" w:eastAsia="微軟正黑體" w:hAnsi="微軟正黑體" w:hint="eastAsia"/>
        </w:rPr>
        <w:t>《</w:t>
      </w:r>
      <w:hyperlink w:anchor="_附件：印花税税目税率表" w:history="1">
        <w:r w:rsidR="00C77EE4" w:rsidRPr="00F8415B">
          <w:rPr>
            <w:rStyle w:val="a3"/>
            <w:rFonts w:ascii="微軟正黑體" w:eastAsia="微軟正黑體" w:hAnsi="微軟正黑體"/>
          </w:rPr>
          <w:t>印花稅稅目稅率表</w:t>
        </w:r>
      </w:hyperlink>
      <w:r w:rsidR="00F8415B" w:rsidRPr="00F8415B">
        <w:rPr>
          <w:rFonts w:ascii="微軟正黑體" w:eastAsia="微軟正黑體" w:hAnsi="微軟正黑體" w:hint="eastAsia"/>
        </w:rPr>
        <w:t>》列明的合同、產權轉移書據和營業賬簿。</w:t>
      </w:r>
    </w:p>
    <w:p w14:paraId="6CF15BEF" w14:textId="77777777" w:rsidR="00F8415B" w:rsidRPr="00F8415B" w:rsidRDefault="00F8415B" w:rsidP="00F8415B">
      <w:pPr>
        <w:pStyle w:val="2"/>
        <w:jc w:val="both"/>
        <w:rPr>
          <w:rFonts w:ascii="微軟正黑體" w:eastAsia="微軟正黑體" w:hAnsi="微軟正黑體"/>
        </w:rPr>
      </w:pPr>
      <w:bookmarkStart w:id="6" w:name="a3"/>
      <w:bookmarkEnd w:id="6"/>
      <w:r w:rsidRPr="00F8415B">
        <w:rPr>
          <w:rFonts w:ascii="微軟正黑體" w:eastAsia="微軟正黑體" w:hAnsi="微軟正黑體" w:hint="eastAsia"/>
        </w:rPr>
        <w:t>第3條</w:t>
      </w:r>
    </w:p>
    <w:p w14:paraId="0260DEAF" w14:textId="6092CC56"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本法所稱證券交易，是指轉讓在依法設立的證券交易所、國務院批准的其他全國性證券交易場所交易的股票和以股票為基礎的存托憑證。</w:t>
      </w:r>
    </w:p>
    <w:p w14:paraId="594B809E" w14:textId="046C4ACD"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證券交易印花稅對證券交易的出讓方徵收，不對受讓方徵收。</w:t>
      </w:r>
    </w:p>
    <w:p w14:paraId="40920B36" w14:textId="77777777" w:rsidR="00F8415B" w:rsidRPr="00F8415B" w:rsidRDefault="00F8415B" w:rsidP="00F8415B">
      <w:pPr>
        <w:pStyle w:val="2"/>
        <w:jc w:val="both"/>
        <w:rPr>
          <w:rFonts w:ascii="微軟正黑體" w:eastAsia="微軟正黑體" w:hAnsi="微軟正黑體"/>
        </w:rPr>
      </w:pPr>
      <w:bookmarkStart w:id="7" w:name="a4"/>
      <w:bookmarkEnd w:id="7"/>
      <w:r w:rsidRPr="00F8415B">
        <w:rPr>
          <w:rFonts w:ascii="微軟正黑體" w:eastAsia="微軟正黑體" w:hAnsi="微軟正黑體" w:hint="eastAsia"/>
        </w:rPr>
        <w:t>第4條</w:t>
      </w:r>
    </w:p>
    <w:p w14:paraId="3DC4F0FB" w14:textId="54EEA13C"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印花稅的稅目、稅率，依照本法所附《</w:t>
      </w:r>
      <w:hyperlink w:anchor="_附件：印花税税目税率表" w:history="1">
        <w:r w:rsidR="00F8415B" w:rsidRPr="00F8415B">
          <w:rPr>
            <w:rStyle w:val="a3"/>
            <w:rFonts w:ascii="微軟正黑體" w:eastAsia="微軟正黑體" w:hAnsi="微軟正黑體"/>
          </w:rPr>
          <w:t>印花稅稅目稅率表</w:t>
        </w:r>
      </w:hyperlink>
      <w:r w:rsidR="00F8415B" w:rsidRPr="00F8415B">
        <w:rPr>
          <w:rFonts w:ascii="微軟正黑體" w:eastAsia="微軟正黑體" w:hAnsi="微軟正黑體" w:hint="eastAsia"/>
        </w:rPr>
        <w:t>》執行。</w:t>
      </w:r>
    </w:p>
    <w:p w14:paraId="475DA945" w14:textId="77777777" w:rsidR="00F8415B" w:rsidRPr="00F8415B" w:rsidRDefault="00F8415B" w:rsidP="00F8415B">
      <w:pPr>
        <w:pStyle w:val="2"/>
        <w:jc w:val="both"/>
        <w:rPr>
          <w:rFonts w:ascii="微軟正黑體" w:eastAsia="微軟正黑體" w:hAnsi="微軟正黑體"/>
        </w:rPr>
      </w:pPr>
      <w:bookmarkStart w:id="8" w:name="a5"/>
      <w:bookmarkEnd w:id="8"/>
      <w:r w:rsidRPr="00F8415B">
        <w:rPr>
          <w:rFonts w:ascii="微軟正黑體" w:eastAsia="微軟正黑體" w:hAnsi="微軟正黑體" w:hint="eastAsia"/>
        </w:rPr>
        <w:t>第5條</w:t>
      </w:r>
    </w:p>
    <w:p w14:paraId="6F339EF8" w14:textId="07D0D686"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印花稅的計稅依據如下：</w:t>
      </w:r>
    </w:p>
    <w:p w14:paraId="62A1F81D"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（一）應稅合同的計稅依據，為合同所列的金額，不包括列明的增值稅稅款；</w:t>
      </w:r>
    </w:p>
    <w:p w14:paraId="0D155604"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（二）應稅產權轉移書據的計稅依據，為產權轉移書據所列的金額，不包括列明的增值稅稅款；</w:t>
      </w:r>
    </w:p>
    <w:p w14:paraId="19B690B0"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（三）應稅營業賬簿的計稅依據，為賬簿記載的實收資本（股本）、資本公積合計金額；</w:t>
      </w:r>
    </w:p>
    <w:p w14:paraId="2C0E3EA5" w14:textId="069192BA" w:rsidR="00F8415B" w:rsidRPr="00F8415B"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（四）證券交易的計稅依據，為成交金額。</w:t>
      </w:r>
    </w:p>
    <w:p w14:paraId="39860CAB" w14:textId="77777777" w:rsidR="00F8415B" w:rsidRPr="00F8415B" w:rsidRDefault="00F8415B" w:rsidP="00F8415B">
      <w:pPr>
        <w:pStyle w:val="2"/>
        <w:jc w:val="both"/>
        <w:rPr>
          <w:rFonts w:ascii="微軟正黑體" w:eastAsia="微軟正黑體" w:hAnsi="微軟正黑體"/>
        </w:rPr>
      </w:pPr>
      <w:bookmarkStart w:id="9" w:name="a6"/>
      <w:bookmarkEnd w:id="9"/>
      <w:r w:rsidRPr="00F8415B">
        <w:rPr>
          <w:rFonts w:ascii="微軟正黑體" w:eastAsia="微軟正黑體" w:hAnsi="微軟正黑體" w:hint="eastAsia"/>
        </w:rPr>
        <w:t>第6條</w:t>
      </w:r>
    </w:p>
    <w:p w14:paraId="66A0D5F5" w14:textId="1F665732"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應稅合同、產權轉移書據未列明金額的，印花稅的計稅依據按照實際結算的金額確定。</w:t>
      </w:r>
    </w:p>
    <w:p w14:paraId="433D100A" w14:textId="7ADC18C5"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lastRenderedPageBreak/>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計稅依據按照前款規定仍不能確定的，按照書立合同、產權轉移書據時的市場價格確定；依法應當執行政府定價或者政府指導價的，按照國家有關規定確定。</w:t>
      </w:r>
    </w:p>
    <w:p w14:paraId="189D2906" w14:textId="77777777" w:rsidR="00F8415B" w:rsidRPr="00F8415B" w:rsidRDefault="00F8415B" w:rsidP="00F8415B">
      <w:pPr>
        <w:pStyle w:val="2"/>
        <w:jc w:val="both"/>
        <w:rPr>
          <w:rFonts w:ascii="微軟正黑體" w:eastAsia="微軟正黑體" w:hAnsi="微軟正黑體"/>
        </w:rPr>
      </w:pPr>
      <w:bookmarkStart w:id="10" w:name="a7"/>
      <w:bookmarkEnd w:id="10"/>
      <w:r w:rsidRPr="00F8415B">
        <w:rPr>
          <w:rFonts w:ascii="微軟正黑體" w:eastAsia="微軟正黑體" w:hAnsi="微軟正黑體" w:hint="eastAsia"/>
        </w:rPr>
        <w:t>第7條</w:t>
      </w:r>
    </w:p>
    <w:p w14:paraId="603B9967" w14:textId="34ADEE97"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證券交易無轉讓價格的，按照辦理過戶登記手續時該證券前一個交易日收盤價計算確定計稅依據；無收盤價的，按照證券面值計算確定計稅依據。</w:t>
      </w:r>
    </w:p>
    <w:p w14:paraId="6978F688" w14:textId="77777777" w:rsidR="00F8415B" w:rsidRPr="00F8415B" w:rsidRDefault="00F8415B" w:rsidP="00F8415B">
      <w:pPr>
        <w:pStyle w:val="2"/>
        <w:jc w:val="both"/>
        <w:rPr>
          <w:rFonts w:ascii="微軟正黑體" w:eastAsia="微軟正黑體" w:hAnsi="微軟正黑體"/>
        </w:rPr>
      </w:pPr>
      <w:bookmarkStart w:id="11" w:name="a8"/>
      <w:bookmarkEnd w:id="11"/>
      <w:r w:rsidRPr="00F8415B">
        <w:rPr>
          <w:rFonts w:ascii="微軟正黑體" w:eastAsia="微軟正黑體" w:hAnsi="微軟正黑體" w:hint="eastAsia"/>
        </w:rPr>
        <w:t>第8條</w:t>
      </w:r>
    </w:p>
    <w:p w14:paraId="6096B1BF" w14:textId="7E4EEBA6"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印花稅的應納稅額按照計稅依據乘以適用稅率計算。</w:t>
      </w:r>
    </w:p>
    <w:p w14:paraId="102DCD46" w14:textId="77777777" w:rsidR="00F8415B" w:rsidRPr="00F8415B" w:rsidRDefault="00F8415B" w:rsidP="00F8415B">
      <w:pPr>
        <w:pStyle w:val="2"/>
        <w:jc w:val="both"/>
        <w:rPr>
          <w:rFonts w:ascii="微軟正黑體" w:eastAsia="微軟正黑體" w:hAnsi="微軟正黑體"/>
        </w:rPr>
      </w:pPr>
      <w:bookmarkStart w:id="12" w:name="a9"/>
      <w:bookmarkEnd w:id="12"/>
      <w:r w:rsidRPr="00F8415B">
        <w:rPr>
          <w:rFonts w:ascii="微軟正黑體" w:eastAsia="微軟正黑體" w:hAnsi="微軟正黑體" w:hint="eastAsia"/>
        </w:rPr>
        <w:t>第9條</w:t>
      </w:r>
    </w:p>
    <w:p w14:paraId="4828A496" w14:textId="0C02F763"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同一應稅憑證載有兩個以上稅目事項並分別列明金額的，按照各自適用的稅目稅率分別計算應納稅額；未分別列明金額的，從高適用稅率。</w:t>
      </w:r>
    </w:p>
    <w:p w14:paraId="5A3EE422" w14:textId="77777777" w:rsidR="00F8415B" w:rsidRPr="00F8415B" w:rsidRDefault="00F8415B" w:rsidP="00F8415B">
      <w:pPr>
        <w:pStyle w:val="2"/>
        <w:jc w:val="both"/>
        <w:rPr>
          <w:rFonts w:ascii="微軟正黑體" w:eastAsia="微軟正黑體" w:hAnsi="微軟正黑體"/>
        </w:rPr>
      </w:pPr>
      <w:bookmarkStart w:id="13" w:name="a10"/>
      <w:bookmarkEnd w:id="13"/>
      <w:r w:rsidRPr="00F8415B">
        <w:rPr>
          <w:rFonts w:ascii="微軟正黑體" w:eastAsia="微軟正黑體" w:hAnsi="微軟正黑體" w:hint="eastAsia"/>
        </w:rPr>
        <w:t>第10條</w:t>
      </w:r>
    </w:p>
    <w:p w14:paraId="39C2DDCB" w14:textId="40991C22"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同一應稅憑證由兩方以上當事人書立的，按照各自涉及的金額分別計算應納稅額。</w:t>
      </w:r>
    </w:p>
    <w:p w14:paraId="03C38EBD" w14:textId="77777777" w:rsidR="00F8415B" w:rsidRPr="00F8415B" w:rsidRDefault="00F8415B" w:rsidP="00F8415B">
      <w:pPr>
        <w:pStyle w:val="2"/>
        <w:jc w:val="both"/>
        <w:rPr>
          <w:rFonts w:ascii="微軟正黑體" w:eastAsia="微軟正黑體" w:hAnsi="微軟正黑體"/>
        </w:rPr>
      </w:pPr>
      <w:bookmarkStart w:id="14" w:name="a11"/>
      <w:bookmarkEnd w:id="14"/>
      <w:r w:rsidRPr="00F8415B">
        <w:rPr>
          <w:rFonts w:ascii="微軟正黑體" w:eastAsia="微軟正黑體" w:hAnsi="微軟正黑體" w:hint="eastAsia"/>
        </w:rPr>
        <w:t>第11條</w:t>
      </w:r>
    </w:p>
    <w:p w14:paraId="0047A1E9" w14:textId="63F19B40"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已繳納印花稅的營業賬簿，以後年度記載的實收資本（股本）、資本公積合計金額比已繳納印花稅的實收資本（股本）、資本公積合計金額增加的，按照增加部分計算應納稅額。</w:t>
      </w:r>
    </w:p>
    <w:p w14:paraId="571B126D" w14:textId="77777777" w:rsidR="00F8415B" w:rsidRPr="00F8415B" w:rsidRDefault="00F8415B" w:rsidP="00F8415B">
      <w:pPr>
        <w:pStyle w:val="2"/>
        <w:jc w:val="both"/>
        <w:rPr>
          <w:rFonts w:ascii="微軟正黑體" w:eastAsia="微軟正黑體" w:hAnsi="微軟正黑體"/>
        </w:rPr>
      </w:pPr>
      <w:bookmarkStart w:id="15" w:name="a12"/>
      <w:bookmarkEnd w:id="15"/>
      <w:r w:rsidRPr="00F8415B">
        <w:rPr>
          <w:rFonts w:ascii="微軟正黑體" w:eastAsia="微軟正黑體" w:hAnsi="微軟正黑體" w:hint="eastAsia"/>
        </w:rPr>
        <w:t>第12條</w:t>
      </w:r>
    </w:p>
    <w:p w14:paraId="449ED4F0" w14:textId="7D9D1232"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下列憑證免征印花稅：</w:t>
      </w:r>
    </w:p>
    <w:p w14:paraId="2CB97756"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（一）應稅憑證的副本或者抄本；</w:t>
      </w:r>
    </w:p>
    <w:p w14:paraId="196F899D"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（二）依照法律規定應當予以免稅的外國駐華使館、領事館和國際組織駐華代表機構為獲得館舍書立的應稅憑證；</w:t>
      </w:r>
    </w:p>
    <w:p w14:paraId="611E44EE"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（三）中國人民解放軍、中國人民武裝警察部隊書立的應稅憑證；</w:t>
      </w:r>
    </w:p>
    <w:p w14:paraId="28586F1D" w14:textId="66FF098D"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（四）農民、家庭農場、農民專業合作社、農村集體經濟組織、村民委員會購買農業生產資料或者銷售農產品書立的買賣合同和農業保險合同；</w:t>
      </w:r>
    </w:p>
    <w:p w14:paraId="40ED01D0"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（五）無息或者貼息借款合同、國際金融組織向中國提供優惠貸款書立的借款合同；</w:t>
      </w:r>
    </w:p>
    <w:p w14:paraId="35EFD7FD"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（六）財產所有權人將財產贈與政府、學校、社會福利機構、慈善組織書立的產權轉移書據；</w:t>
      </w:r>
    </w:p>
    <w:p w14:paraId="5633247A" w14:textId="77777777" w:rsidR="00B35926"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（七）非營利性醫療衛生機構採購藥品或者衛生材料書立的買賣合同；</w:t>
      </w:r>
    </w:p>
    <w:p w14:paraId="433304E7" w14:textId="4D3DC81F" w:rsidR="00F8415B" w:rsidRPr="00F8415B" w:rsidRDefault="00F8415B" w:rsidP="00F8415B">
      <w:pPr>
        <w:ind w:left="142"/>
        <w:jc w:val="both"/>
        <w:rPr>
          <w:rFonts w:ascii="微軟正黑體" w:eastAsia="微軟正黑體" w:hAnsi="微軟正黑體"/>
        </w:rPr>
      </w:pPr>
      <w:r w:rsidRPr="00F8415B">
        <w:rPr>
          <w:rFonts w:ascii="微軟正黑體" w:eastAsia="微軟正黑體" w:hAnsi="微軟正黑體" w:hint="eastAsia"/>
        </w:rPr>
        <w:t xml:space="preserve">　　（八）個人與電子商務經營者訂立的電子訂單。</w:t>
      </w:r>
    </w:p>
    <w:p w14:paraId="174FDC06" w14:textId="77C4BFA9"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根據國民經濟和社會發展的需要，國務院對居民住房需求保障、企業改制重組、破產、支持小型微型企業發展等情形可以規定減征或者免征印花稅，報全國人民代表大會常務委員會備案。</w:t>
      </w:r>
    </w:p>
    <w:p w14:paraId="6DB89E4E" w14:textId="77777777" w:rsidR="00F8415B" w:rsidRPr="00F8415B" w:rsidRDefault="00F8415B" w:rsidP="00F8415B">
      <w:pPr>
        <w:pStyle w:val="2"/>
        <w:jc w:val="both"/>
        <w:rPr>
          <w:rFonts w:ascii="微軟正黑體" w:eastAsia="微軟正黑體" w:hAnsi="微軟正黑體"/>
        </w:rPr>
      </w:pPr>
      <w:bookmarkStart w:id="16" w:name="a13"/>
      <w:bookmarkEnd w:id="16"/>
      <w:r w:rsidRPr="00F8415B">
        <w:rPr>
          <w:rFonts w:ascii="微軟正黑體" w:eastAsia="微軟正黑體" w:hAnsi="微軟正黑體" w:hint="eastAsia"/>
        </w:rPr>
        <w:t>第13條</w:t>
      </w:r>
    </w:p>
    <w:p w14:paraId="5E9E0527" w14:textId="200AE6D2"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納稅人為單位的，應當向其機構所在地的主管稅務機關申報繳納印花稅；納稅人為個人的，應當向應稅憑證書立地或者納稅人居住地的主管稅務機關申報繳納印花稅。</w:t>
      </w:r>
    </w:p>
    <w:p w14:paraId="6F389BE1" w14:textId="43005295"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不動產產權發生轉移的，納稅人應當向不動產所在地的主管稅務機關申報繳納印花稅。</w:t>
      </w:r>
    </w:p>
    <w:p w14:paraId="69C10A76" w14:textId="77777777" w:rsidR="00F8415B" w:rsidRPr="00F8415B" w:rsidRDefault="00F8415B" w:rsidP="00F8415B">
      <w:pPr>
        <w:pStyle w:val="2"/>
        <w:jc w:val="both"/>
        <w:rPr>
          <w:rFonts w:ascii="微軟正黑體" w:eastAsia="微軟正黑體" w:hAnsi="微軟正黑體"/>
        </w:rPr>
      </w:pPr>
      <w:bookmarkStart w:id="17" w:name="a14"/>
      <w:bookmarkEnd w:id="17"/>
      <w:r w:rsidRPr="00F8415B">
        <w:rPr>
          <w:rFonts w:ascii="微軟正黑體" w:eastAsia="微軟正黑體" w:hAnsi="微軟正黑體" w:hint="eastAsia"/>
        </w:rPr>
        <w:t>第14條</w:t>
      </w:r>
    </w:p>
    <w:p w14:paraId="2DBB374C" w14:textId="37A2889D"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納稅人為境外單位或者個人，在境內有代理人的，以其境內代理人為扣繳義務人；在境內沒有代理人的，由納稅人自行申報繳納印花稅，具體辦法由國務院稅務主管部門規定。</w:t>
      </w:r>
    </w:p>
    <w:p w14:paraId="02451DB4" w14:textId="1C0E14C8"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lastRenderedPageBreak/>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證券登記結算機構為證券交易印花稅的扣繳義務人，應當向其機構所在地的主管稅務機關申報解繳稅款以及銀行結算的利息。</w:t>
      </w:r>
    </w:p>
    <w:p w14:paraId="3091339F" w14:textId="77777777" w:rsidR="00F8415B" w:rsidRPr="00F8415B" w:rsidRDefault="00F8415B" w:rsidP="00F8415B">
      <w:pPr>
        <w:pStyle w:val="2"/>
        <w:jc w:val="both"/>
        <w:rPr>
          <w:rFonts w:ascii="微軟正黑體" w:eastAsia="微軟正黑體" w:hAnsi="微軟正黑體"/>
        </w:rPr>
      </w:pPr>
      <w:bookmarkStart w:id="18" w:name="a15"/>
      <w:bookmarkEnd w:id="18"/>
      <w:r w:rsidRPr="00F8415B">
        <w:rPr>
          <w:rFonts w:ascii="微軟正黑體" w:eastAsia="微軟正黑體" w:hAnsi="微軟正黑體" w:hint="eastAsia"/>
        </w:rPr>
        <w:t>第15條</w:t>
      </w:r>
    </w:p>
    <w:p w14:paraId="4D761B34" w14:textId="64B15F2F"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印花稅的納稅義務發生時間為納稅人書立應稅憑證或者完成證券交易的當日。</w:t>
      </w:r>
    </w:p>
    <w:p w14:paraId="46FE6C76" w14:textId="1964EB00"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證券交易印花稅扣繳義務發生時間為證券交易完成的當日。</w:t>
      </w:r>
    </w:p>
    <w:p w14:paraId="2993CB27" w14:textId="77777777" w:rsidR="00F8415B" w:rsidRPr="00F8415B" w:rsidRDefault="00F8415B" w:rsidP="00F8415B">
      <w:pPr>
        <w:pStyle w:val="2"/>
        <w:jc w:val="both"/>
        <w:rPr>
          <w:rFonts w:ascii="微軟正黑體" w:eastAsia="微軟正黑體" w:hAnsi="微軟正黑體"/>
        </w:rPr>
      </w:pPr>
      <w:bookmarkStart w:id="19" w:name="a16"/>
      <w:bookmarkEnd w:id="19"/>
      <w:r w:rsidRPr="00F8415B">
        <w:rPr>
          <w:rFonts w:ascii="微軟正黑體" w:eastAsia="微軟正黑體" w:hAnsi="微軟正黑體" w:hint="eastAsia"/>
        </w:rPr>
        <w:t>第16條</w:t>
      </w:r>
    </w:p>
    <w:p w14:paraId="25E55A4E" w14:textId="47BF3AB8"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印花稅按季、按年或者按次計征。實行按季、按年計征的，納稅人應當自季度、年度終了之日起十五日內申報繳納稅款；實行按次計征的，納稅人應當自納稅義務發生之日起十五日內申報繳納稅款。</w:t>
      </w:r>
    </w:p>
    <w:p w14:paraId="6AC63295" w14:textId="0F2FECBA"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證券交易印花稅按周解繳。證券交易印花稅扣繳義務人應當自每週終了之日起五日內申報解繳稅款以及銀行結算的利息。</w:t>
      </w:r>
    </w:p>
    <w:p w14:paraId="508F6C93" w14:textId="77777777" w:rsidR="00F8415B" w:rsidRPr="00F8415B" w:rsidRDefault="00F8415B" w:rsidP="00F8415B">
      <w:pPr>
        <w:pStyle w:val="2"/>
        <w:jc w:val="both"/>
        <w:rPr>
          <w:rFonts w:ascii="微軟正黑體" w:eastAsia="微軟正黑體" w:hAnsi="微軟正黑體"/>
        </w:rPr>
      </w:pPr>
      <w:bookmarkStart w:id="20" w:name="a17"/>
      <w:bookmarkEnd w:id="20"/>
      <w:r w:rsidRPr="00F8415B">
        <w:rPr>
          <w:rFonts w:ascii="微軟正黑體" w:eastAsia="微軟正黑體" w:hAnsi="微軟正黑體" w:hint="eastAsia"/>
        </w:rPr>
        <w:t>第17條</w:t>
      </w:r>
    </w:p>
    <w:p w14:paraId="2945135A" w14:textId="41A8661A"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印花稅可以採用粘貼印花稅票或者由稅務機關依法開具其他完稅憑證的方式繳納。</w:t>
      </w:r>
    </w:p>
    <w:p w14:paraId="5A043644" w14:textId="1316FE8E"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2</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印花稅票粘貼在應稅憑證上的，由納稅人在每枚稅票的騎縫處蓋戳註銷或者畫銷。</w:t>
      </w:r>
    </w:p>
    <w:p w14:paraId="6EA2AEFC" w14:textId="27239FFF"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3</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印花稅票由國務院稅務主管部門監製。</w:t>
      </w:r>
    </w:p>
    <w:p w14:paraId="721FE30B" w14:textId="77777777" w:rsidR="00F8415B" w:rsidRPr="00F8415B" w:rsidRDefault="00F8415B" w:rsidP="00F8415B">
      <w:pPr>
        <w:pStyle w:val="2"/>
        <w:jc w:val="both"/>
        <w:rPr>
          <w:rFonts w:ascii="微軟正黑體" w:eastAsia="微軟正黑體" w:hAnsi="微軟正黑體"/>
        </w:rPr>
      </w:pPr>
      <w:bookmarkStart w:id="21" w:name="a18"/>
      <w:bookmarkEnd w:id="21"/>
      <w:r w:rsidRPr="00F8415B">
        <w:rPr>
          <w:rFonts w:ascii="微軟正黑體" w:eastAsia="微軟正黑體" w:hAnsi="微軟正黑體" w:hint="eastAsia"/>
        </w:rPr>
        <w:t>第18條</w:t>
      </w:r>
    </w:p>
    <w:p w14:paraId="4C56139B" w14:textId="34C84025"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印花稅由稅務機關依照本法和《</w:t>
      </w:r>
      <w:hyperlink r:id="rId15" w:history="1">
        <w:r w:rsidR="00F8415B" w:rsidRPr="00F8415B">
          <w:rPr>
            <w:rStyle w:val="a3"/>
            <w:rFonts w:ascii="微軟正黑體" w:eastAsia="微軟正黑體" w:hAnsi="微軟正黑體"/>
          </w:rPr>
          <w:t>中華人民共和國稅收徵收管理法</w:t>
        </w:r>
      </w:hyperlink>
      <w:r w:rsidR="00F8415B" w:rsidRPr="00F8415B">
        <w:rPr>
          <w:rFonts w:ascii="微軟正黑體" w:eastAsia="微軟正黑體" w:hAnsi="微軟正黑體" w:hint="eastAsia"/>
        </w:rPr>
        <w:t>》的規定徵收管理。</w:t>
      </w:r>
    </w:p>
    <w:p w14:paraId="1D3B0FD5" w14:textId="77777777" w:rsidR="00F8415B" w:rsidRPr="00F8415B" w:rsidRDefault="00F8415B" w:rsidP="00F8415B">
      <w:pPr>
        <w:pStyle w:val="2"/>
        <w:jc w:val="both"/>
        <w:rPr>
          <w:rFonts w:ascii="微軟正黑體" w:eastAsia="微軟正黑體" w:hAnsi="微軟正黑體"/>
        </w:rPr>
      </w:pPr>
      <w:bookmarkStart w:id="22" w:name="a19"/>
      <w:bookmarkEnd w:id="22"/>
      <w:r w:rsidRPr="00F8415B">
        <w:rPr>
          <w:rFonts w:ascii="微軟正黑體" w:eastAsia="微軟正黑體" w:hAnsi="微軟正黑體" w:hint="eastAsia"/>
        </w:rPr>
        <w:t>第19條</w:t>
      </w:r>
    </w:p>
    <w:p w14:paraId="7DDB0EC7" w14:textId="7D2141C5"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納稅人、扣繳義務人和稅務機關及其工作人員違反本法規定的，依照《</w:t>
      </w:r>
      <w:hyperlink r:id="rId16" w:history="1">
        <w:r w:rsidR="00F8415B" w:rsidRPr="00F8415B">
          <w:rPr>
            <w:rStyle w:val="a3"/>
            <w:rFonts w:ascii="微軟正黑體" w:eastAsia="微軟正黑體" w:hAnsi="微軟正黑體"/>
          </w:rPr>
          <w:t>中華人民共和國稅收徵收管理法</w:t>
        </w:r>
      </w:hyperlink>
      <w:r w:rsidR="00F8415B" w:rsidRPr="00F8415B">
        <w:rPr>
          <w:rFonts w:ascii="微軟正黑體" w:eastAsia="微軟正黑體" w:hAnsi="微軟正黑體" w:hint="eastAsia"/>
        </w:rPr>
        <w:t>》和有關法律、行政法規的規定追究法律責任。</w:t>
      </w:r>
    </w:p>
    <w:p w14:paraId="57D2F588" w14:textId="77777777" w:rsidR="00F8415B" w:rsidRPr="00F8415B" w:rsidRDefault="00F8415B" w:rsidP="00F8415B">
      <w:pPr>
        <w:pStyle w:val="2"/>
        <w:jc w:val="both"/>
        <w:rPr>
          <w:rFonts w:ascii="微軟正黑體" w:eastAsia="微軟正黑體" w:hAnsi="微軟正黑體"/>
        </w:rPr>
      </w:pPr>
      <w:bookmarkStart w:id="23" w:name="a20"/>
      <w:bookmarkEnd w:id="23"/>
      <w:r w:rsidRPr="00F8415B">
        <w:rPr>
          <w:rFonts w:ascii="微軟正黑體" w:eastAsia="微軟正黑體" w:hAnsi="微軟正黑體" w:hint="eastAsia"/>
        </w:rPr>
        <w:t>第20條</w:t>
      </w:r>
    </w:p>
    <w:p w14:paraId="53224B61" w14:textId="5110D247" w:rsidR="00F8415B" w:rsidRPr="00F8415B" w:rsidRDefault="000D2804" w:rsidP="00F8415B">
      <w:pPr>
        <w:ind w:left="142"/>
        <w:jc w:val="both"/>
        <w:rPr>
          <w:rFonts w:ascii="微軟正黑體" w:eastAsia="微軟正黑體" w:hAnsi="微軟正黑體"/>
        </w:rPr>
      </w:pPr>
      <w:r w:rsidRPr="000D2804">
        <w:rPr>
          <w:rFonts w:asciiTheme="minorHAnsi" w:eastAsia="微軟正黑體" w:hAnsiTheme="minorHAnsi" w:hint="eastAsia"/>
          <w:color w:val="404040" w:themeColor="text1" w:themeTint="BF"/>
          <w:sz w:val="16"/>
        </w:rPr>
        <w:t>﹝</w:t>
      </w:r>
      <w:r w:rsidRPr="000D2804">
        <w:rPr>
          <w:rFonts w:asciiTheme="minorHAnsi" w:eastAsia="微軟正黑體" w:hAnsiTheme="minorHAnsi"/>
          <w:color w:val="404040" w:themeColor="text1" w:themeTint="BF"/>
          <w:sz w:val="16"/>
        </w:rPr>
        <w:t>1</w:t>
      </w:r>
      <w:r w:rsidRPr="000D2804">
        <w:rPr>
          <w:rFonts w:asciiTheme="minorHAnsi" w:eastAsia="微軟正黑體" w:hAnsiTheme="minorHAnsi" w:hint="eastAsia"/>
          <w:color w:val="404040" w:themeColor="text1" w:themeTint="BF"/>
          <w:sz w:val="16"/>
        </w:rPr>
        <w:t>﹞</w:t>
      </w:r>
      <w:r w:rsidR="00F8415B" w:rsidRPr="00F8415B">
        <w:rPr>
          <w:rFonts w:ascii="微軟正黑體" w:eastAsia="微軟正黑體" w:hAnsi="微軟正黑體" w:hint="eastAsia"/>
        </w:rPr>
        <w:t>本法自2022年7月1日起施行。1988年8月6日國務院發布的《</w:t>
      </w:r>
      <w:hyperlink r:id="rId17" w:history="1">
        <w:r w:rsidR="00F8415B" w:rsidRPr="00F8415B">
          <w:rPr>
            <w:rStyle w:val="a3"/>
            <w:rFonts w:ascii="微軟正黑體" w:eastAsia="微軟正黑體" w:hAnsi="微軟正黑體"/>
          </w:rPr>
          <w:t>中華人民共和國印花稅暫行條例</w:t>
        </w:r>
      </w:hyperlink>
      <w:r w:rsidR="00F8415B" w:rsidRPr="00F8415B">
        <w:rPr>
          <w:rFonts w:ascii="微軟正黑體" w:eastAsia="微軟正黑體" w:hAnsi="微軟正黑體" w:hint="eastAsia"/>
        </w:rPr>
        <w:t>》同時廢止。</w:t>
      </w:r>
    </w:p>
    <w:p w14:paraId="65B2B46F" w14:textId="77777777" w:rsidR="00F8415B" w:rsidRDefault="00F8415B" w:rsidP="00F8415B">
      <w:pPr>
        <w:rPr>
          <w:rFonts w:ascii="標楷體" w:eastAsia="標楷體" w:hAnsi="標楷體"/>
        </w:rPr>
      </w:pPr>
    </w:p>
    <w:p w14:paraId="13C0EB41" w14:textId="79AFF19D" w:rsidR="00F8415B" w:rsidRDefault="00F8415B" w:rsidP="00F8415B">
      <w:pPr>
        <w:pStyle w:val="1"/>
        <w:rPr>
          <w:rFonts w:ascii="標楷體" w:eastAsia="標楷體" w:hAnsi="標楷體"/>
        </w:rPr>
      </w:pPr>
      <w:bookmarkStart w:id="24" w:name="_附件：印花税税目税率表"/>
      <w:bookmarkEnd w:id="24"/>
      <w:r>
        <w:rPr>
          <w:rFonts w:ascii="標楷體" w:eastAsia="標楷體" w:hAnsi="標楷體" w:hint="eastAsia"/>
        </w:rPr>
        <w:lastRenderedPageBreak/>
        <w:t>附件：印花稅稅目稅率表</w:t>
      </w:r>
    </w:p>
    <w:p w14:paraId="6B0DE9CA" w14:textId="1340537B" w:rsidR="00F8415B" w:rsidRDefault="00BA3C67" w:rsidP="00F8415B">
      <w:pPr>
        <w:ind w:left="142"/>
        <w:jc w:val="both"/>
        <w:rPr>
          <w:rFonts w:ascii="標楷體" w:eastAsia="標楷體" w:hAnsi="標楷體"/>
        </w:rPr>
      </w:pPr>
      <w:r>
        <w:rPr>
          <w:noProof/>
        </w:rPr>
        <w:drawing>
          <wp:inline distT="0" distB="0" distL="0" distR="0" wp14:anchorId="39DD71AB" wp14:editId="7425C326">
            <wp:extent cx="5399902" cy="4299347"/>
            <wp:effectExtent l="0" t="0" r="0" b="6350"/>
            <wp:docPr id="1" name="圖片 1"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桌 的圖片&#10;&#10;自動產生的描述"/>
                    <pic:cNvPicPr/>
                  </pic:nvPicPr>
                  <pic:blipFill>
                    <a:blip r:embed="rId18"/>
                    <a:stretch>
                      <a:fillRect/>
                    </a:stretch>
                  </pic:blipFill>
                  <pic:spPr>
                    <a:xfrm>
                      <a:off x="0" y="0"/>
                      <a:ext cx="5403506" cy="4302216"/>
                    </a:xfrm>
                    <a:prstGeom prst="rect">
                      <a:avLst/>
                    </a:prstGeom>
                  </pic:spPr>
                </pic:pic>
              </a:graphicData>
            </a:graphic>
          </wp:inline>
        </w:drawing>
      </w:r>
      <w:r>
        <w:rPr>
          <w:noProof/>
        </w:rPr>
        <w:drawing>
          <wp:inline distT="0" distB="0" distL="0" distR="0" wp14:anchorId="79C67A58" wp14:editId="1CF18CB6">
            <wp:extent cx="5395740" cy="3281715"/>
            <wp:effectExtent l="0" t="0" r="0" b="0"/>
            <wp:docPr id="8" name="圖片 8" descr="一張含有 文字,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桌 的圖片&#10;&#10;自動產生的描述"/>
                    <pic:cNvPicPr/>
                  </pic:nvPicPr>
                  <pic:blipFill>
                    <a:blip r:embed="rId19"/>
                    <a:stretch>
                      <a:fillRect/>
                    </a:stretch>
                  </pic:blipFill>
                  <pic:spPr>
                    <a:xfrm>
                      <a:off x="0" y="0"/>
                      <a:ext cx="5397346" cy="3282692"/>
                    </a:xfrm>
                    <a:prstGeom prst="rect">
                      <a:avLst/>
                    </a:prstGeom>
                  </pic:spPr>
                </pic:pic>
              </a:graphicData>
            </a:graphic>
          </wp:inline>
        </w:drawing>
      </w:r>
      <w:r w:rsidR="00F8415B">
        <w:rPr>
          <w:rFonts w:ascii="標楷體" w:eastAsia="標楷體" w:hAnsi="標楷體" w:hint="eastAsia"/>
          <w:color w:val="FFFFFF" w:themeColor="background1"/>
        </w:rPr>
        <w:t>■</w:t>
      </w:r>
    </w:p>
    <w:p w14:paraId="0ACECA82" w14:textId="77777777" w:rsidR="00F8415B" w:rsidRDefault="00F8415B" w:rsidP="00F8415B">
      <w:pPr>
        <w:rPr>
          <w:rFonts w:ascii="標楷體" w:eastAsia="細明體" w:hAnsi="標楷體"/>
        </w:rPr>
      </w:pPr>
    </w:p>
    <w:p w14:paraId="76D4AC1F" w14:textId="77777777" w:rsidR="003C7F50" w:rsidRPr="00B13E1C" w:rsidRDefault="003C7F50" w:rsidP="003C7F50">
      <w:pPr>
        <w:ind w:leftChars="50" w:left="100"/>
        <w:jc w:val="both"/>
        <w:rPr>
          <w:rFonts w:ascii="微軟正黑體" w:eastAsia="微軟正黑體" w:hAnsi="微軟正黑體"/>
          <w:color w:val="808000"/>
          <w:szCs w:val="20"/>
        </w:rPr>
      </w:pPr>
      <w:r w:rsidRPr="00B13E1C">
        <w:rPr>
          <w:rFonts w:ascii="微軟正黑體" w:eastAsia="微軟正黑體" w:hAnsi="微軟正黑體" w:hint="eastAsia"/>
          <w:color w:val="5F5F5F"/>
          <w:sz w:val="18"/>
        </w:rPr>
        <w:t>。。。。。。。。。。。。。。。。。。。。。。。。。。。。。。。。。。。。。。。。。。。。。。。。。。</w:t>
      </w:r>
      <w:hyperlink w:anchor="top" w:history="1">
        <w:r w:rsidRPr="00B13E1C">
          <w:rPr>
            <w:rStyle w:val="a3"/>
            <w:rFonts w:ascii="微軟正黑體" w:eastAsia="微軟正黑體" w:hAnsi="微軟正黑體" w:hint="eastAsia"/>
            <w:sz w:val="18"/>
          </w:rPr>
          <w:t>回首頁</w:t>
        </w:r>
      </w:hyperlink>
      <w:r w:rsidRPr="00B13E1C">
        <w:rPr>
          <w:rStyle w:val="a3"/>
          <w:rFonts w:ascii="微軟正黑體" w:eastAsia="微軟正黑體" w:hAnsi="微軟正黑體" w:hint="eastAsia"/>
          <w:b/>
          <w:sz w:val="18"/>
          <w:u w:val="none"/>
        </w:rPr>
        <w:t>〉〉</w:t>
      </w:r>
    </w:p>
    <w:p w14:paraId="2F704CD8" w14:textId="4A951AB5" w:rsidR="003C7F50" w:rsidRPr="003C7F50" w:rsidRDefault="003C7F50" w:rsidP="00B13E1C">
      <w:pPr>
        <w:jc w:val="both"/>
      </w:pPr>
      <w:r w:rsidRPr="00B13E1C">
        <w:rPr>
          <w:rFonts w:ascii="微軟正黑體" w:eastAsia="微軟正黑體" w:hAnsi="微軟正黑體" w:hint="eastAsia"/>
          <w:color w:val="5F5F5F"/>
          <w:sz w:val="18"/>
          <w:szCs w:val="18"/>
        </w:rPr>
        <w:t>【編註】</w:t>
      </w:r>
      <w:r w:rsidR="004B7BDE" w:rsidRPr="00B13E1C">
        <w:rPr>
          <w:rFonts w:ascii="微軟正黑體" w:eastAsia="微軟正黑體" w:hAnsi="微軟正黑體" w:hint="eastAsia"/>
          <w:color w:val="5F5F5F"/>
          <w:sz w:val="18"/>
          <w:szCs w:val="18"/>
        </w:rPr>
        <w:t>本檔法規資料來源為官方資訊網，提供學習與參考為原則，</w:t>
      </w:r>
      <w:r w:rsidRPr="00B13E1C">
        <w:rPr>
          <w:rFonts w:ascii="微軟正黑體" w:eastAsia="微軟正黑體" w:hAnsi="微軟正黑體" w:hint="eastAsia"/>
          <w:color w:val="5F5F5F"/>
          <w:sz w:val="18"/>
          <w:szCs w:val="18"/>
        </w:rPr>
        <w:t>如需引用請以正式檔為準。如有發現待更正部份及您所需本站未收編之法規</w:t>
      </w:r>
      <w:r w:rsidRPr="00B13E1C">
        <w:rPr>
          <w:rFonts w:ascii="微軟正黑體" w:eastAsia="微軟正黑體" w:hAnsi="微軟正黑體" w:hint="eastAsia"/>
          <w:color w:val="5F5F5F"/>
          <w:sz w:val="18"/>
          <w:szCs w:val="20"/>
        </w:rPr>
        <w:t>，</w:t>
      </w:r>
      <w:r w:rsidRPr="00B13E1C">
        <w:rPr>
          <w:rFonts w:ascii="微軟正黑體" w:eastAsia="微軟正黑體" w:hAnsi="微軟正黑體"/>
          <w:color w:val="5F5F5F"/>
          <w:sz w:val="18"/>
          <w:szCs w:val="20"/>
        </w:rPr>
        <w:t>敬</w:t>
      </w:r>
      <w:r w:rsidRPr="00B13E1C">
        <w:rPr>
          <w:rFonts w:ascii="微軟正黑體" w:eastAsia="微軟正黑體" w:hAnsi="微軟正黑體" w:hint="eastAsia"/>
          <w:color w:val="5F5F5F"/>
          <w:sz w:val="18"/>
          <w:szCs w:val="20"/>
        </w:rPr>
        <w:t>請</w:t>
      </w:r>
      <w:hyperlink r:id="rId20" w:history="1">
        <w:r w:rsidRPr="00B13E1C">
          <w:rPr>
            <w:rStyle w:val="a3"/>
            <w:rFonts w:ascii="微軟正黑體" w:eastAsia="微軟正黑體" w:hAnsi="微軟正黑體"/>
            <w:sz w:val="18"/>
            <w:szCs w:val="20"/>
          </w:rPr>
          <w:t>告知</w:t>
        </w:r>
      </w:hyperlink>
      <w:r w:rsidRPr="00B13E1C">
        <w:rPr>
          <w:rFonts w:ascii="微軟正黑體" w:eastAsia="微軟正黑體" w:hAnsi="微軟正黑體" w:hint="eastAsia"/>
          <w:color w:val="5F5F5F"/>
          <w:sz w:val="18"/>
          <w:szCs w:val="20"/>
        </w:rPr>
        <w:t>，謝謝！</w:t>
      </w:r>
    </w:p>
    <w:sectPr w:rsidR="003C7F50" w:rsidRPr="003C7F50">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63C4661E" w:rsidR="00626027" w:rsidRPr="001D2532" w:rsidRDefault="00A52880" w:rsidP="001635EA">
    <w:pPr>
      <w:pStyle w:val="a6"/>
      <w:ind w:right="360"/>
      <w:jc w:val="right"/>
      <w:rPr>
        <w:rFonts w:ascii="微軟正黑體" w:eastAsia="微軟正黑體" w:hAnsi="微軟正黑體"/>
      </w:rPr>
    </w:pPr>
    <w:r w:rsidRPr="001D2532">
      <w:rPr>
        <w:rFonts w:ascii="微軟正黑體" w:eastAsia="微軟正黑體" w:hAnsi="微軟正黑體"/>
        <w:sz w:val="18"/>
        <w:szCs w:val="18"/>
      </w:rPr>
      <w:t>〈〈</w:t>
    </w:r>
    <w:r w:rsidR="0048022A" w:rsidRPr="001D2532">
      <w:rPr>
        <w:rFonts w:ascii="微軟正黑體" w:eastAsia="微軟正黑體" w:hAnsi="微軟正黑體" w:hint="eastAsia"/>
        <w:sz w:val="18"/>
        <w:szCs w:val="18"/>
      </w:rPr>
      <w:t>中華人民共和國印花稅法</w:t>
    </w:r>
    <w:r w:rsidRPr="001D2532">
      <w:rPr>
        <w:rFonts w:ascii="微軟正黑體" w:eastAsia="微軟正黑體" w:hAnsi="微軟正黑體"/>
        <w:sz w:val="18"/>
        <w:szCs w:val="18"/>
      </w:rPr>
      <w:t>〉〉</w:t>
    </w:r>
    <w:r w:rsidR="001635EA" w:rsidRPr="001D2532">
      <w:rPr>
        <w:rFonts w:ascii="微軟正黑體" w:eastAsia="微軟正黑體" w:hAnsi="微軟正黑體"/>
        <w:sz w:val="18"/>
        <w:szCs w:val="18"/>
      </w:rPr>
      <w:t>S-link</w:t>
    </w:r>
    <w:r w:rsidR="001635EA" w:rsidRPr="001D2532">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D2804"/>
    <w:rsid w:val="000F1F46"/>
    <w:rsid w:val="001635EA"/>
    <w:rsid w:val="00166D4D"/>
    <w:rsid w:val="00172209"/>
    <w:rsid w:val="00177DCB"/>
    <w:rsid w:val="001974AB"/>
    <w:rsid w:val="001D2532"/>
    <w:rsid w:val="001E63D5"/>
    <w:rsid w:val="001F57DB"/>
    <w:rsid w:val="00201E46"/>
    <w:rsid w:val="0023765D"/>
    <w:rsid w:val="002563B4"/>
    <w:rsid w:val="00272A83"/>
    <w:rsid w:val="00273668"/>
    <w:rsid w:val="00296040"/>
    <w:rsid w:val="002A40F2"/>
    <w:rsid w:val="0030009C"/>
    <w:rsid w:val="00300278"/>
    <w:rsid w:val="00334965"/>
    <w:rsid w:val="003365FD"/>
    <w:rsid w:val="00362C6F"/>
    <w:rsid w:val="003906B2"/>
    <w:rsid w:val="003C7F50"/>
    <w:rsid w:val="003D1419"/>
    <w:rsid w:val="003F13C2"/>
    <w:rsid w:val="003F1567"/>
    <w:rsid w:val="00434439"/>
    <w:rsid w:val="004528B7"/>
    <w:rsid w:val="0048022A"/>
    <w:rsid w:val="0048386D"/>
    <w:rsid w:val="004B7BDE"/>
    <w:rsid w:val="00514F72"/>
    <w:rsid w:val="00515C5A"/>
    <w:rsid w:val="00517077"/>
    <w:rsid w:val="0057446C"/>
    <w:rsid w:val="0058050C"/>
    <w:rsid w:val="005B4CC0"/>
    <w:rsid w:val="005C27E7"/>
    <w:rsid w:val="005D7873"/>
    <w:rsid w:val="0060173F"/>
    <w:rsid w:val="006017A9"/>
    <w:rsid w:val="00626027"/>
    <w:rsid w:val="00797FAF"/>
    <w:rsid w:val="007B3157"/>
    <w:rsid w:val="00806947"/>
    <w:rsid w:val="0083478A"/>
    <w:rsid w:val="00855953"/>
    <w:rsid w:val="0087702E"/>
    <w:rsid w:val="008829E0"/>
    <w:rsid w:val="008B0950"/>
    <w:rsid w:val="008F7B9F"/>
    <w:rsid w:val="00904E96"/>
    <w:rsid w:val="00911C69"/>
    <w:rsid w:val="00962D8C"/>
    <w:rsid w:val="0096477A"/>
    <w:rsid w:val="009C6D99"/>
    <w:rsid w:val="00A101CC"/>
    <w:rsid w:val="00A43314"/>
    <w:rsid w:val="00A50238"/>
    <w:rsid w:val="00A52880"/>
    <w:rsid w:val="00A80D53"/>
    <w:rsid w:val="00AB02D1"/>
    <w:rsid w:val="00AC493C"/>
    <w:rsid w:val="00B13E1C"/>
    <w:rsid w:val="00B2293B"/>
    <w:rsid w:val="00B35926"/>
    <w:rsid w:val="00B41E26"/>
    <w:rsid w:val="00B90155"/>
    <w:rsid w:val="00BA3C67"/>
    <w:rsid w:val="00BA702B"/>
    <w:rsid w:val="00BA7B85"/>
    <w:rsid w:val="00C00150"/>
    <w:rsid w:val="00C2437D"/>
    <w:rsid w:val="00C37E0C"/>
    <w:rsid w:val="00C77EE4"/>
    <w:rsid w:val="00C96913"/>
    <w:rsid w:val="00CD1585"/>
    <w:rsid w:val="00D44AB2"/>
    <w:rsid w:val="00D52B6F"/>
    <w:rsid w:val="00D54DAF"/>
    <w:rsid w:val="00D61885"/>
    <w:rsid w:val="00D83F38"/>
    <w:rsid w:val="00DC51B7"/>
    <w:rsid w:val="00E337D4"/>
    <w:rsid w:val="00E61A63"/>
    <w:rsid w:val="00E9022C"/>
    <w:rsid w:val="00ED4443"/>
    <w:rsid w:val="00EE6475"/>
    <w:rsid w:val="00EF293B"/>
    <w:rsid w:val="00F8415B"/>
    <w:rsid w:val="00F86C8B"/>
    <w:rsid w:val="00F93722"/>
    <w:rsid w:val="00F96907"/>
    <w:rsid w:val="00FE422F"/>
    <w:rsid w:val="00FF4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481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file:///D:\Googledrive\!!s6law.net\6lawword\lawgb\&#20013;&#21326;&#20154;&#27665;&#20849;&#21644;&#22269;&#21360;&#33457;&#31246;&#26242;&#34892;&#26465;&#20363;.docx" TargetMode="External"/><Relationship Id="rId2" Type="http://schemas.openxmlformats.org/officeDocument/2006/relationships/styles" Target="styles.xml"/><Relationship Id="rId16" Type="http://schemas.openxmlformats.org/officeDocument/2006/relationships/hyperlink" Target="file:///D:\Googledrive\!!s6law.net\6lawword\lawgb\&#20013;&#21326;&#20154;&#27665;&#20849;&#21644;&#22269;&#31246;&#25910;&#24449;&#25910;&#31649;&#29702;&#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1360;&#33457;&#31246;&#2786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Googledrive\!!s6law.net\6lawword\lawgb\&#20013;&#21326;&#20154;&#27665;&#20849;&#21644;&#22269;&#31246;&#25910;&#24449;&#25910;&#31649;&#29702;&#27861;.docx" TargetMode="External"/><Relationship Id="rId23"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360;&#33457;&#31237;&#27861;.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中華人民共和國印花稅法</dc:title>
  <dc:creator>S-link 電子六法-黃婉玲</dc:creator>
  <cp:lastModifiedBy>黃婉玲 S-link電子六法</cp:lastModifiedBy>
  <cp:revision>15</cp:revision>
  <dcterms:created xsi:type="dcterms:W3CDTF">2021-12-20T14:14:00Z</dcterms:created>
  <dcterms:modified xsi:type="dcterms:W3CDTF">2021-12-21T04:36:00Z</dcterms:modified>
</cp:coreProperties>
</file>