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D4CF" w14:textId="7671FD40" w:rsidR="005F711F" w:rsidRDefault="009268EF" w:rsidP="005F711F">
      <w:pPr>
        <w:adjustRightInd w:val="0"/>
        <w:snapToGrid w:val="0"/>
        <w:ind w:rightChars="8" w:right="19"/>
        <w:jc w:val="right"/>
        <w:rPr>
          <w:rFonts w:ascii="Arial Unicode MS" w:hAnsi="Arial Unicode MS"/>
        </w:rPr>
      </w:pPr>
      <w:hyperlink r:id="rId7" w:history="1">
        <w:r>
          <w:rPr>
            <w:rFonts w:ascii="Calibri" w:hAnsi="Calibri"/>
            <w:noProof/>
            <w:color w:val="5F5F5F"/>
            <w:sz w:val="18"/>
            <w:szCs w:val="20"/>
            <w:lang w:val="zh-TW"/>
          </w:rPr>
          <w:pict w14:anchorId="32014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30" type="#_x0000_t75" href="https://www.6laws.net/" style="width:32.6pt;height:32.6pt;visibility:visible;mso-wrap-style:square" o:button="t">
              <v:fill o:detectmouseclick="t"/>
              <v:imagedata r:id="rId8" o:title=""/>
            </v:shape>
          </w:pict>
        </w:r>
      </w:hyperlink>
    </w:p>
    <w:p w14:paraId="5584C896" w14:textId="594E3BD8" w:rsidR="005F711F" w:rsidRPr="007841B0" w:rsidRDefault="005F711F" w:rsidP="005F711F">
      <w:pPr>
        <w:adjustRightInd w:val="0"/>
        <w:snapToGrid w:val="0"/>
        <w:ind w:rightChars="8" w:right="19"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9" w:tgtFrame="_blank" w:history="1">
        <w:r w:rsidRPr="00EF7EB2">
          <w:rPr>
            <w:rStyle w:val="a3"/>
            <w:sz w:val="18"/>
            <w:szCs w:val="20"/>
          </w:rPr>
          <w:t>更新</w:t>
        </w:r>
      </w:hyperlink>
      <w:r>
        <w:rPr>
          <w:rFonts w:hint="eastAsia"/>
          <w:color w:val="7F7F7F"/>
          <w:sz w:val="18"/>
          <w:szCs w:val="20"/>
          <w:lang w:val="zh-TW"/>
        </w:rPr>
        <w:t>】</w:t>
      </w:r>
      <w:r w:rsidR="00EF7EB2">
        <w:rPr>
          <w:rFonts w:ascii="Arial Unicode MS" w:hAnsi="Arial Unicode MS"/>
          <w:color w:val="7F7F7F"/>
          <w:sz w:val="18"/>
        </w:rPr>
        <w:t>2017/10/2</w:t>
      </w:r>
      <w:r w:rsidR="00EF7EB2">
        <w:rPr>
          <w:rFonts w:ascii="Arial Unicode MS" w:hAnsi="Arial Unicode MS" w:hint="eastAsia"/>
          <w:color w:val="7F7F7F"/>
          <w:sz w:val="18"/>
        </w:rPr>
        <w:t>0</w:t>
      </w:r>
      <w:r>
        <w:rPr>
          <w:rFonts w:hint="eastAsia"/>
          <w:color w:val="7F7F7F"/>
          <w:sz w:val="18"/>
          <w:szCs w:val="20"/>
          <w:lang w:val="zh-TW"/>
        </w:rPr>
        <w:t>【</w:t>
      </w:r>
      <w:hyperlink r:id="rId10" w:history="1">
        <w:r w:rsidRPr="00EF7EB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21015F4" w14:textId="215DB53E" w:rsidR="005F711F" w:rsidRDefault="005F711F" w:rsidP="005F711F">
      <w:pPr>
        <w:ind w:rightChars="-66" w:right="-158"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083519">
        <w:rPr>
          <w:rFonts w:hint="eastAsia"/>
          <w:color w:val="808000"/>
          <w:sz w:val="18"/>
          <w:szCs w:val="20"/>
        </w:rPr>
        <w:t>〉</w:t>
      </w:r>
      <w:r>
        <w:rPr>
          <w:rFonts w:hint="eastAsia"/>
          <w:color w:val="808000"/>
          <w:sz w:val="18"/>
          <w:szCs w:val="20"/>
        </w:rPr>
        <w:t>檢視</w:t>
      </w:r>
      <w:r>
        <w:rPr>
          <w:rFonts w:hint="eastAsia"/>
          <w:color w:val="808000"/>
          <w:sz w:val="18"/>
          <w:szCs w:val="20"/>
        </w:rPr>
        <w:t>--</w:t>
      </w:r>
      <w:r w:rsidR="00083519">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124490">
          <w:rPr>
            <w:rStyle w:val="a3"/>
            <w:rFonts w:ascii="Times New Roman" w:hAnsi="Times New Roman" w:hint="eastAsia"/>
            <w:sz w:val="18"/>
            <w:szCs w:val="20"/>
            <w:u w:val="none"/>
          </w:rPr>
          <w:t>功能窗格</w:t>
        </w:r>
      </w:hyperlink>
      <w:r>
        <w:rPr>
          <w:rFonts w:hint="eastAsia"/>
          <w:color w:val="808000"/>
          <w:sz w:val="18"/>
          <w:szCs w:val="20"/>
        </w:rPr>
        <w:t>）</w:t>
      </w:r>
    </w:p>
    <w:p w14:paraId="1E272E53" w14:textId="7F923F57" w:rsidR="002A00C9" w:rsidRDefault="005F711F" w:rsidP="005F711F">
      <w:pPr>
        <w:ind w:rightChars="-66" w:right="-158" w:firstLineChars="2880" w:firstLine="5184"/>
        <w:jc w:val="right"/>
        <w:rPr>
          <w:rFonts w:ascii="Arial Unicode MS" w:hAnsi="Arial Unicode MS"/>
          <w:b/>
          <w:color w:val="5F5F5F"/>
          <w:sz w:val="18"/>
        </w:rPr>
      </w:pPr>
      <w:r w:rsidRPr="005F711F">
        <w:rPr>
          <w:rFonts w:ascii="Arial Unicode MS" w:hAnsi="Arial Unicode MS" w:hint="eastAsia"/>
          <w:color w:val="FFFFFF"/>
          <w:sz w:val="18"/>
        </w:rPr>
        <w:t>‧</w:t>
      </w:r>
      <w:hyperlink r:id="rId13" w:history="1">
        <w:r w:rsidRPr="005F711F">
          <w:rPr>
            <w:rStyle w:val="a3"/>
            <w:rFonts w:ascii="Arial Unicode MS" w:hAnsi="Arial Unicode MS" w:hint="eastAsia"/>
            <w:sz w:val="18"/>
          </w:rPr>
          <w:t>S-link</w:t>
        </w:r>
        <w:r w:rsidRPr="005F711F">
          <w:rPr>
            <w:rStyle w:val="a3"/>
            <w:rFonts w:ascii="Arial Unicode MS" w:hAnsi="Arial Unicode MS" w:hint="eastAsia"/>
            <w:sz w:val="18"/>
          </w:rPr>
          <w:t>總索引</w:t>
        </w:r>
      </w:hyperlink>
      <w:r w:rsidR="00083519">
        <w:rPr>
          <w:rFonts w:ascii="Arial Unicode MS" w:hAnsi="Arial Unicode MS" w:hint="eastAsia"/>
          <w:b/>
          <w:color w:val="808000"/>
          <w:sz w:val="18"/>
        </w:rPr>
        <w:t>〉〉</w:t>
      </w:r>
      <w:hyperlink r:id="rId14" w:anchor="禁止傳銷條例" w:history="1">
        <w:r w:rsidRPr="005F711F">
          <w:rPr>
            <w:rStyle w:val="a3"/>
            <w:rFonts w:ascii="Arial Unicode MS" w:hAnsi="Arial Unicode MS" w:hint="eastAsia"/>
            <w:sz w:val="18"/>
          </w:rPr>
          <w:t>S-link</w:t>
        </w:r>
        <w:r w:rsidRPr="005F711F">
          <w:rPr>
            <w:rStyle w:val="a3"/>
            <w:rFonts w:ascii="Arial Unicode MS" w:hAnsi="Arial Unicode MS" w:hint="eastAsia"/>
            <w:sz w:val="18"/>
          </w:rPr>
          <w:t>大陸法規索引</w:t>
        </w:r>
      </w:hyperlink>
      <w:r w:rsidR="00083519">
        <w:rPr>
          <w:rFonts w:ascii="Arial Unicode MS" w:hAnsi="Arial Unicode MS" w:hint="eastAsia"/>
          <w:b/>
          <w:color w:val="5F5F5F"/>
          <w:sz w:val="18"/>
        </w:rPr>
        <w:t>〉〉</w:t>
      </w:r>
      <w:hyperlink r:id="rId15" w:tgtFrame="_blank" w:history="1">
        <w:r w:rsidRPr="005F711F">
          <w:rPr>
            <w:rStyle w:val="a3"/>
            <w:rFonts w:ascii="Arial Unicode MS" w:hAnsi="Arial Unicode MS" w:hint="eastAsia"/>
            <w:sz w:val="18"/>
          </w:rPr>
          <w:t>線上網頁版</w:t>
        </w:r>
      </w:hyperlink>
      <w:r w:rsidR="00083519">
        <w:rPr>
          <w:rFonts w:ascii="Arial Unicode MS" w:hAnsi="Arial Unicode MS" w:hint="eastAsia"/>
          <w:b/>
          <w:color w:val="5F5F5F"/>
          <w:sz w:val="18"/>
        </w:rPr>
        <w:t>〉〉</w:t>
      </w:r>
    </w:p>
    <w:p w14:paraId="2894ED2F" w14:textId="77777777" w:rsidR="00970E58" w:rsidRPr="005F711F" w:rsidRDefault="00970E58" w:rsidP="005F711F">
      <w:pPr>
        <w:ind w:rightChars="-66" w:right="-158" w:firstLineChars="2880" w:firstLine="5760"/>
        <w:jc w:val="right"/>
        <w:rPr>
          <w:rFonts w:ascii="Arial Unicode MS" w:hAnsi="Arial Unicode MS" w:hint="eastAsia"/>
          <w:color w:val="666699"/>
          <w:sz w:val="20"/>
        </w:rPr>
      </w:pPr>
    </w:p>
    <w:p w14:paraId="6028E338" w14:textId="722A8E26" w:rsidR="002A00C9" w:rsidRPr="002C7B09" w:rsidRDefault="000364E4" w:rsidP="00806F82">
      <w:pPr>
        <w:jc w:val="both"/>
        <w:rPr>
          <w:rFonts w:ascii="Arial Unicode MS" w:hAnsi="Arial Unicode MS"/>
          <w:b/>
          <w:bCs/>
          <w:color w:val="993300"/>
          <w:sz w:val="20"/>
        </w:rPr>
      </w:pPr>
      <w:r w:rsidRPr="003F1818">
        <w:rPr>
          <w:rFonts w:ascii="Arial Unicode MS" w:hAnsi="Arial Unicode MS"/>
          <w:b/>
          <w:bCs/>
          <w:color w:val="990000"/>
          <w:sz w:val="20"/>
          <w:szCs w:val="20"/>
        </w:rPr>
        <w:t>【</w:t>
      </w:r>
      <w:r w:rsidR="009268EF" w:rsidRPr="003F1818">
        <w:rPr>
          <w:rFonts w:ascii="Arial Unicode MS" w:hAnsi="Arial Unicode MS" w:hint="eastAsia"/>
          <w:b/>
          <w:bCs/>
          <w:color w:val="990000"/>
          <w:sz w:val="20"/>
          <w:szCs w:val="20"/>
        </w:rPr>
        <w:t>法律法規</w:t>
      </w:r>
      <w:r w:rsidRPr="003F1818">
        <w:rPr>
          <w:rFonts w:ascii="Arial Unicode MS" w:hAnsi="Arial Unicode MS"/>
          <w:b/>
          <w:bCs/>
          <w:color w:val="990000"/>
          <w:sz w:val="20"/>
          <w:szCs w:val="20"/>
        </w:rPr>
        <w:t>】</w:t>
      </w:r>
      <w:r w:rsidR="00F37A94" w:rsidRPr="00F37A94">
        <w:rPr>
          <w:rFonts w:ascii="新細明體" w:eastAsia="標楷體" w:hAnsi="新細明體" w:hint="eastAsia"/>
          <w:bCs/>
          <w:shadow/>
          <w:sz w:val="32"/>
        </w:rPr>
        <w:t>禁止傳銷條例</w:t>
      </w:r>
    </w:p>
    <w:p w14:paraId="1BA1B69C" w14:textId="77777777" w:rsidR="002A00C9" w:rsidRPr="002C7B09" w:rsidRDefault="002A00C9" w:rsidP="00806F82">
      <w:pPr>
        <w:jc w:val="both"/>
        <w:rPr>
          <w:rFonts w:ascii="Arial Unicode MS" w:hAnsi="Arial Unicode MS"/>
          <w:color w:val="666699"/>
          <w:sz w:val="20"/>
        </w:rPr>
      </w:pPr>
      <w:r w:rsidRPr="003F1818">
        <w:rPr>
          <w:rFonts w:ascii="Arial Unicode MS" w:hAnsi="Arial Unicode MS"/>
          <w:b/>
          <w:bCs/>
          <w:color w:val="990000"/>
          <w:sz w:val="20"/>
        </w:rPr>
        <w:t>【</w:t>
      </w:r>
      <w:r w:rsidRPr="003F1818">
        <w:rPr>
          <w:rFonts w:ascii="Arial Unicode MS" w:hAnsi="Arial Unicode MS" w:hint="eastAsia"/>
          <w:b/>
          <w:bCs/>
          <w:color w:val="990000"/>
          <w:sz w:val="20"/>
        </w:rPr>
        <w:t>發布單位</w:t>
      </w:r>
      <w:r w:rsidRPr="003F1818">
        <w:rPr>
          <w:rFonts w:ascii="Arial Unicode MS" w:hAnsi="Arial Unicode MS"/>
          <w:b/>
          <w:bCs/>
          <w:color w:val="990000"/>
          <w:sz w:val="20"/>
        </w:rPr>
        <w:t>】</w:t>
      </w:r>
      <w:r w:rsidR="00CC371D" w:rsidRPr="00CC371D">
        <w:rPr>
          <w:rFonts w:ascii="Arial Unicode MS" w:hAnsi="Arial Unicode MS" w:hint="eastAsia"/>
          <w:sz w:val="20"/>
        </w:rPr>
        <w:t>中華人民共和</w:t>
      </w:r>
      <w:r w:rsidR="00CC371D" w:rsidRPr="00F37A94">
        <w:rPr>
          <w:rFonts w:ascii="Arial Unicode MS" w:hAnsi="Arial Unicode MS" w:hint="eastAsia"/>
          <w:sz w:val="20"/>
        </w:rPr>
        <w:t>國</w:t>
      </w:r>
      <w:r w:rsidR="00CC371D" w:rsidRPr="00CC371D">
        <w:rPr>
          <w:rFonts w:ascii="Arial Unicode MS" w:hAnsi="Arial Unicode MS" w:hint="eastAsia"/>
          <w:sz w:val="20"/>
        </w:rPr>
        <w:t>國</w:t>
      </w:r>
      <w:r w:rsidR="00F37A94" w:rsidRPr="00F37A94">
        <w:rPr>
          <w:rFonts w:ascii="Arial Unicode MS" w:hAnsi="Arial Unicode MS" w:hint="eastAsia"/>
          <w:sz w:val="20"/>
        </w:rPr>
        <w:t>務院</w:t>
      </w:r>
    </w:p>
    <w:p w14:paraId="25E73B4A" w14:textId="0080E360" w:rsidR="002A00C9" w:rsidRPr="002C7B09" w:rsidRDefault="002A00C9" w:rsidP="00806F82">
      <w:pPr>
        <w:jc w:val="both"/>
        <w:rPr>
          <w:rFonts w:ascii="Arial Unicode MS" w:hAnsi="Arial Unicode MS"/>
          <w:color w:val="993300"/>
          <w:sz w:val="20"/>
        </w:rPr>
      </w:pPr>
      <w:r w:rsidRPr="003F1818">
        <w:rPr>
          <w:rFonts w:ascii="Arial Unicode MS" w:hAnsi="Arial Unicode MS"/>
          <w:b/>
          <w:bCs/>
          <w:color w:val="990000"/>
          <w:sz w:val="20"/>
        </w:rPr>
        <w:t>【</w:t>
      </w:r>
      <w:r w:rsidR="009268EF" w:rsidRPr="003F1818">
        <w:rPr>
          <w:rFonts w:ascii="Arial Unicode MS" w:hAnsi="Arial Unicode MS" w:hint="eastAsia"/>
          <w:b/>
          <w:bCs/>
          <w:color w:val="990000"/>
          <w:sz w:val="20"/>
        </w:rPr>
        <w:t>發布</w:t>
      </w:r>
      <w:r w:rsidR="009268EF" w:rsidRPr="003F1818">
        <w:rPr>
          <w:rFonts w:ascii="Arial Unicode MS" w:hAnsi="Arial Unicode MS" w:hint="eastAsia"/>
          <w:b/>
          <w:bCs/>
          <w:color w:val="990000"/>
          <w:sz w:val="20"/>
        </w:rPr>
        <w:t>/</w:t>
      </w:r>
      <w:r w:rsidR="009268EF" w:rsidRPr="003F1818">
        <w:rPr>
          <w:rFonts w:ascii="Arial Unicode MS" w:hAnsi="Arial Unicode MS" w:hint="eastAsia"/>
          <w:b/>
          <w:bCs/>
          <w:color w:val="990000"/>
          <w:sz w:val="20"/>
        </w:rPr>
        <w:t>修正</w:t>
      </w:r>
      <w:r w:rsidRPr="003F1818">
        <w:rPr>
          <w:rFonts w:ascii="Arial Unicode MS" w:hAnsi="Arial Unicode MS"/>
          <w:b/>
          <w:bCs/>
          <w:color w:val="990000"/>
          <w:sz w:val="20"/>
        </w:rPr>
        <w:t>】</w:t>
      </w:r>
      <w:r w:rsidR="00EF7EB2" w:rsidRPr="00EF7EB2">
        <w:rPr>
          <w:rFonts w:ascii="Arial Unicode MS" w:hAnsi="Arial Unicode MS" w:hint="eastAsia"/>
          <w:sz w:val="20"/>
        </w:rPr>
        <w:t>2005</w:t>
      </w:r>
      <w:r w:rsidR="00EF7EB2" w:rsidRPr="00EF7EB2">
        <w:rPr>
          <w:rFonts w:ascii="Arial Unicode MS" w:hAnsi="Arial Unicode MS" w:hint="eastAsia"/>
          <w:sz w:val="20"/>
        </w:rPr>
        <w:t>年</w:t>
      </w:r>
      <w:r w:rsidR="00EF7EB2" w:rsidRPr="00EF7EB2">
        <w:rPr>
          <w:rFonts w:ascii="Arial Unicode MS" w:hAnsi="Arial Unicode MS" w:hint="eastAsia"/>
          <w:sz w:val="20"/>
        </w:rPr>
        <w:t>8</w:t>
      </w:r>
      <w:r w:rsidR="00EF7EB2" w:rsidRPr="00EF7EB2">
        <w:rPr>
          <w:rFonts w:ascii="Arial Unicode MS" w:hAnsi="Arial Unicode MS" w:hint="eastAsia"/>
          <w:sz w:val="20"/>
        </w:rPr>
        <w:t>月</w:t>
      </w:r>
      <w:r w:rsidR="00EF7EB2" w:rsidRPr="00EF7EB2">
        <w:rPr>
          <w:rFonts w:ascii="Arial Unicode MS" w:hAnsi="Arial Unicode MS" w:hint="eastAsia"/>
          <w:sz w:val="20"/>
        </w:rPr>
        <w:t>23</w:t>
      </w:r>
      <w:r w:rsidR="00EF7EB2" w:rsidRPr="00EF7EB2">
        <w:rPr>
          <w:rFonts w:ascii="Arial Unicode MS" w:hAnsi="Arial Unicode MS" w:hint="eastAsia"/>
          <w:sz w:val="20"/>
        </w:rPr>
        <w:t>日</w:t>
      </w:r>
    </w:p>
    <w:p w14:paraId="32DA5DB3" w14:textId="77777777" w:rsidR="002A00C9" w:rsidRDefault="002A00C9" w:rsidP="00806F82">
      <w:pPr>
        <w:jc w:val="both"/>
        <w:rPr>
          <w:rFonts w:ascii="Arial Unicode MS" w:hAnsi="Arial Unicode MS"/>
          <w:sz w:val="20"/>
        </w:rPr>
      </w:pPr>
      <w:r w:rsidRPr="003F1818">
        <w:rPr>
          <w:rFonts w:ascii="Arial Unicode MS" w:hAnsi="Arial Unicode MS"/>
          <w:b/>
          <w:bCs/>
          <w:color w:val="990000"/>
          <w:sz w:val="20"/>
        </w:rPr>
        <w:t>【</w:t>
      </w:r>
      <w:r w:rsidRPr="003F1818">
        <w:rPr>
          <w:rFonts w:ascii="Arial Unicode MS" w:hAnsi="Arial Unicode MS" w:hint="eastAsia"/>
          <w:b/>
          <w:bCs/>
          <w:color w:val="990000"/>
          <w:sz w:val="20"/>
        </w:rPr>
        <w:t>實施日期</w:t>
      </w:r>
      <w:r w:rsidRPr="003F1818">
        <w:rPr>
          <w:rFonts w:ascii="Arial Unicode MS" w:hAnsi="Arial Unicode MS"/>
          <w:b/>
          <w:bCs/>
          <w:color w:val="990000"/>
          <w:sz w:val="20"/>
        </w:rPr>
        <w:t>】</w:t>
      </w:r>
      <w:r w:rsidR="00EF7EB2" w:rsidRPr="00C65F2E">
        <w:rPr>
          <w:rFonts w:ascii="Arial Unicode MS" w:hAnsi="Arial Unicode MS" w:hint="eastAsia"/>
          <w:sz w:val="20"/>
        </w:rPr>
        <w:t>2005</w:t>
      </w:r>
      <w:r w:rsidR="00EF7EB2" w:rsidRPr="00C65F2E">
        <w:rPr>
          <w:rFonts w:ascii="Arial Unicode MS" w:hAnsi="Arial Unicode MS" w:hint="eastAsia"/>
          <w:sz w:val="20"/>
        </w:rPr>
        <w:t>年</w:t>
      </w:r>
      <w:r w:rsidR="00EF7EB2" w:rsidRPr="00C65F2E">
        <w:rPr>
          <w:rFonts w:ascii="Arial Unicode MS" w:hAnsi="Arial Unicode MS" w:hint="eastAsia"/>
          <w:sz w:val="20"/>
        </w:rPr>
        <w:t>11</w:t>
      </w:r>
      <w:r w:rsidR="00EF7EB2" w:rsidRPr="00C65F2E">
        <w:rPr>
          <w:rFonts w:ascii="Arial Unicode MS" w:hAnsi="Arial Unicode MS" w:hint="eastAsia"/>
          <w:sz w:val="20"/>
        </w:rPr>
        <w:t>月</w:t>
      </w:r>
      <w:r w:rsidR="00EF7EB2" w:rsidRPr="00C65F2E">
        <w:rPr>
          <w:rFonts w:ascii="Arial Unicode MS" w:hAnsi="Arial Unicode MS" w:hint="eastAsia"/>
          <w:sz w:val="20"/>
        </w:rPr>
        <w:t>1</w:t>
      </w:r>
      <w:r w:rsidR="00EF7EB2" w:rsidRPr="00C65F2E">
        <w:rPr>
          <w:rFonts w:ascii="Arial Unicode MS" w:hAnsi="Arial Unicode MS" w:hint="eastAsia"/>
          <w:sz w:val="20"/>
        </w:rPr>
        <w:t>日</w:t>
      </w:r>
    </w:p>
    <w:p w14:paraId="7E49715E" w14:textId="77777777" w:rsidR="007D5CDA" w:rsidRPr="002C7B09" w:rsidRDefault="007D5CDA" w:rsidP="00806F82">
      <w:pPr>
        <w:jc w:val="both"/>
        <w:rPr>
          <w:rFonts w:ascii="Arial Unicode MS" w:hAnsi="Arial Unicode MS"/>
          <w:b/>
          <w:bCs/>
          <w:color w:val="993300"/>
          <w:sz w:val="20"/>
          <w:szCs w:val="27"/>
          <w:lang w:val="zh-TW"/>
        </w:rPr>
      </w:pPr>
    </w:p>
    <w:p w14:paraId="628F1F14" w14:textId="77777777" w:rsidR="00E046DF" w:rsidRPr="007D5CDA" w:rsidRDefault="001F4F28" w:rsidP="007D5CDA">
      <w:pPr>
        <w:pStyle w:val="1"/>
        <w:rPr>
          <w:color w:val="990000"/>
        </w:rPr>
      </w:pPr>
      <w:r w:rsidRPr="007D5CDA">
        <w:rPr>
          <w:color w:val="990000"/>
        </w:rPr>
        <w:t>【</w:t>
      </w:r>
      <w:r w:rsidR="002A00C9" w:rsidRPr="007D5CDA">
        <w:rPr>
          <w:rFonts w:hint="eastAsia"/>
          <w:color w:val="990000"/>
        </w:rPr>
        <w:t>法規沿革</w:t>
      </w:r>
      <w:r w:rsidR="002A00C9" w:rsidRPr="007D5CDA">
        <w:rPr>
          <w:color w:val="990000"/>
        </w:rPr>
        <w:t>】</w:t>
      </w:r>
    </w:p>
    <w:p w14:paraId="27A82CE4" w14:textId="77777777" w:rsidR="00F37A94" w:rsidRPr="007D5CDA" w:rsidRDefault="007D5CDA" w:rsidP="00F37A94">
      <w:pPr>
        <w:jc w:val="both"/>
        <w:rPr>
          <w:rFonts w:ascii="Arial Unicode MS" w:hAnsi="Arial Unicode MS"/>
          <w:sz w:val="18"/>
        </w:rPr>
      </w:pPr>
      <w:r w:rsidRPr="007D5CDA">
        <w:rPr>
          <w:rFonts w:ascii="Arial Unicode MS" w:hAnsi="Arial Unicode MS" w:hint="eastAsia"/>
          <w:b/>
          <w:bCs/>
          <w:sz w:val="18"/>
        </w:rPr>
        <w:t>‧</w:t>
      </w:r>
      <w:r w:rsidR="00EF7EB2" w:rsidRPr="007D5CDA">
        <w:rPr>
          <w:rFonts w:ascii="Arial Unicode MS" w:hAnsi="Arial Unicode MS" w:hint="eastAsia"/>
          <w:sz w:val="18"/>
        </w:rPr>
        <w:t>2005</w:t>
      </w:r>
      <w:r w:rsidR="00EF7EB2" w:rsidRPr="007D5CDA">
        <w:rPr>
          <w:rFonts w:ascii="Arial Unicode MS" w:hAnsi="Arial Unicode MS" w:hint="eastAsia"/>
          <w:sz w:val="18"/>
        </w:rPr>
        <w:t>年</w:t>
      </w:r>
      <w:r w:rsidR="00EF7EB2" w:rsidRPr="007D5CDA">
        <w:rPr>
          <w:rFonts w:ascii="Arial Unicode MS" w:hAnsi="Arial Unicode MS" w:hint="eastAsia"/>
          <w:sz w:val="18"/>
        </w:rPr>
        <w:t>8</w:t>
      </w:r>
      <w:r w:rsidR="00EF7EB2" w:rsidRPr="007D5CDA">
        <w:rPr>
          <w:rFonts w:ascii="Arial Unicode MS" w:hAnsi="Arial Unicode MS" w:hint="eastAsia"/>
          <w:sz w:val="18"/>
        </w:rPr>
        <w:t>月</w:t>
      </w:r>
      <w:r w:rsidR="00EF7EB2">
        <w:rPr>
          <w:rFonts w:ascii="Arial Unicode MS" w:hAnsi="Arial Unicode MS" w:hint="eastAsia"/>
          <w:sz w:val="18"/>
        </w:rPr>
        <w:t>23</w:t>
      </w:r>
      <w:r w:rsidR="00EF7EB2" w:rsidRPr="007D5CDA">
        <w:rPr>
          <w:rFonts w:ascii="Arial Unicode MS" w:hAnsi="Arial Unicode MS" w:hint="eastAsia"/>
          <w:sz w:val="18"/>
        </w:rPr>
        <w:t>日</w:t>
      </w:r>
      <w:r w:rsidR="00F37A94" w:rsidRPr="007D5CDA">
        <w:rPr>
          <w:rFonts w:ascii="Arial Unicode MS" w:hAnsi="Arial Unicode MS" w:hint="eastAsia"/>
          <w:sz w:val="18"/>
        </w:rPr>
        <w:t>國務院令第</w:t>
      </w:r>
      <w:r w:rsidR="00F37A94" w:rsidRPr="007D5CDA">
        <w:rPr>
          <w:rFonts w:ascii="Arial Unicode MS" w:hAnsi="Arial Unicode MS" w:hint="eastAsia"/>
          <w:sz w:val="18"/>
        </w:rPr>
        <w:t>444</w:t>
      </w:r>
      <w:r w:rsidR="00F37A94" w:rsidRPr="007D5CDA">
        <w:rPr>
          <w:rFonts w:ascii="Arial Unicode MS" w:hAnsi="Arial Unicode MS" w:hint="eastAsia"/>
          <w:sz w:val="18"/>
        </w:rPr>
        <w:t>號</w:t>
      </w:r>
      <w:r w:rsidR="00EF7EB2" w:rsidRPr="007D5CDA">
        <w:rPr>
          <w:rFonts w:ascii="Arial Unicode MS" w:hAnsi="Arial Unicode MS" w:hint="eastAsia"/>
          <w:sz w:val="18"/>
        </w:rPr>
        <w:t>公</w:t>
      </w:r>
      <w:r w:rsidR="00EF7EB2" w:rsidRPr="00EF7EB2">
        <w:rPr>
          <w:rFonts w:ascii="Arial Unicode MS" w:hAnsi="Arial Unicode MS" w:hint="eastAsia"/>
          <w:sz w:val="18"/>
        </w:rPr>
        <w:t>布</w:t>
      </w:r>
      <w:r w:rsidR="00F37A94" w:rsidRPr="007D5CDA">
        <w:rPr>
          <w:rFonts w:ascii="Arial Unicode MS" w:hAnsi="Arial Unicode MS" w:hint="eastAsia"/>
          <w:sz w:val="18"/>
        </w:rPr>
        <w:t>；</w:t>
      </w:r>
      <w:r w:rsidR="00F37A94" w:rsidRPr="007D5CDA">
        <w:rPr>
          <w:rFonts w:ascii="Arial Unicode MS" w:hAnsi="Arial Unicode MS" w:hint="eastAsia"/>
          <w:sz w:val="18"/>
        </w:rPr>
        <w:t>2005</w:t>
      </w:r>
      <w:r w:rsidR="00F37A94" w:rsidRPr="007D5CDA">
        <w:rPr>
          <w:rFonts w:ascii="Arial Unicode MS" w:hAnsi="Arial Unicode MS" w:hint="eastAsia"/>
          <w:sz w:val="18"/>
        </w:rPr>
        <w:t>年</w:t>
      </w:r>
      <w:r w:rsidR="00F37A94" w:rsidRPr="007D5CDA">
        <w:rPr>
          <w:rFonts w:ascii="Arial Unicode MS" w:hAnsi="Arial Unicode MS" w:hint="eastAsia"/>
          <w:sz w:val="18"/>
        </w:rPr>
        <w:t>8</w:t>
      </w:r>
      <w:r w:rsidR="00F37A94" w:rsidRPr="007D5CDA">
        <w:rPr>
          <w:rFonts w:ascii="Arial Unicode MS" w:hAnsi="Arial Unicode MS" w:hint="eastAsia"/>
          <w:sz w:val="18"/>
        </w:rPr>
        <w:t>月</w:t>
      </w:r>
      <w:r w:rsidR="00F37A94" w:rsidRPr="007D5CDA">
        <w:rPr>
          <w:rFonts w:ascii="Arial Unicode MS" w:hAnsi="Arial Unicode MS" w:hint="eastAsia"/>
          <w:sz w:val="18"/>
        </w:rPr>
        <w:t>10</w:t>
      </w:r>
      <w:r w:rsidR="00F37A94" w:rsidRPr="007D5CDA">
        <w:rPr>
          <w:rFonts w:ascii="Arial Unicode MS" w:hAnsi="Arial Unicode MS" w:hint="eastAsia"/>
          <w:sz w:val="18"/>
        </w:rPr>
        <w:t>日國務院第</w:t>
      </w:r>
      <w:r w:rsidR="00F37A94" w:rsidRPr="007D5CDA">
        <w:rPr>
          <w:rFonts w:ascii="Arial Unicode MS" w:hAnsi="Arial Unicode MS" w:hint="eastAsia"/>
          <w:sz w:val="18"/>
        </w:rPr>
        <w:t>101</w:t>
      </w:r>
      <w:r w:rsidR="00F37A94" w:rsidRPr="007D5CDA">
        <w:rPr>
          <w:rFonts w:ascii="Arial Unicode MS" w:hAnsi="Arial Unicode MS" w:hint="eastAsia"/>
          <w:sz w:val="18"/>
        </w:rPr>
        <w:t>次常務會議通過，自</w:t>
      </w:r>
      <w:r w:rsidR="00F37A94" w:rsidRPr="007D5CDA">
        <w:rPr>
          <w:rFonts w:ascii="Arial Unicode MS" w:hAnsi="Arial Unicode MS" w:hint="eastAsia"/>
          <w:sz w:val="18"/>
        </w:rPr>
        <w:t>2005</w:t>
      </w:r>
      <w:r w:rsidR="00F37A94" w:rsidRPr="007D5CDA">
        <w:rPr>
          <w:rFonts w:ascii="Arial Unicode MS" w:hAnsi="Arial Unicode MS" w:hint="eastAsia"/>
          <w:sz w:val="18"/>
        </w:rPr>
        <w:t>年</w:t>
      </w:r>
      <w:r w:rsidR="00F37A94" w:rsidRPr="007D5CDA">
        <w:rPr>
          <w:rFonts w:ascii="Arial Unicode MS" w:hAnsi="Arial Unicode MS" w:hint="eastAsia"/>
          <w:sz w:val="18"/>
        </w:rPr>
        <w:t>11</w:t>
      </w:r>
      <w:r w:rsidR="00F37A94" w:rsidRPr="007D5CDA">
        <w:rPr>
          <w:rFonts w:ascii="Arial Unicode MS" w:hAnsi="Arial Unicode MS" w:hint="eastAsia"/>
          <w:sz w:val="18"/>
        </w:rPr>
        <w:t>月</w:t>
      </w:r>
      <w:r w:rsidR="00F37A94" w:rsidRPr="007D5CDA">
        <w:rPr>
          <w:rFonts w:ascii="Arial Unicode MS" w:hAnsi="Arial Unicode MS" w:hint="eastAsia"/>
          <w:sz w:val="18"/>
        </w:rPr>
        <w:t>1</w:t>
      </w:r>
      <w:r w:rsidR="00F37A94" w:rsidRPr="007D5CDA">
        <w:rPr>
          <w:rFonts w:ascii="Arial Unicode MS" w:hAnsi="Arial Unicode MS" w:hint="eastAsia"/>
          <w:sz w:val="18"/>
        </w:rPr>
        <w:t>日起施行</w:t>
      </w:r>
    </w:p>
    <w:p w14:paraId="79CEEC82" w14:textId="77777777" w:rsidR="00EA5287" w:rsidRPr="00EF7EB2" w:rsidRDefault="00EA5287" w:rsidP="00806F82">
      <w:pPr>
        <w:jc w:val="both"/>
        <w:rPr>
          <w:rFonts w:ascii="Arial Unicode MS" w:hAnsi="Arial Unicode MS"/>
          <w:b/>
          <w:color w:val="666699"/>
          <w:sz w:val="20"/>
        </w:rPr>
      </w:pPr>
      <w:bookmarkStart w:id="1" w:name="_第一章__總_則"/>
      <w:bookmarkEnd w:id="1"/>
    </w:p>
    <w:p w14:paraId="12543496" w14:textId="77777777" w:rsidR="00EC1757" w:rsidRPr="007D5CDA" w:rsidRDefault="00EC1757" w:rsidP="007D5CDA">
      <w:pPr>
        <w:pStyle w:val="1"/>
        <w:rPr>
          <w:color w:val="990000"/>
        </w:rPr>
      </w:pPr>
      <w:bookmarkStart w:id="2" w:name="aaa"/>
      <w:bookmarkEnd w:id="2"/>
      <w:r w:rsidRPr="007D5CDA">
        <w:rPr>
          <w:color w:val="990000"/>
        </w:rPr>
        <w:t>【</w:t>
      </w:r>
      <w:r w:rsidRPr="007D5CDA">
        <w:rPr>
          <w:rFonts w:hint="eastAsia"/>
          <w:color w:val="990000"/>
        </w:rPr>
        <w:t>章節索引</w:t>
      </w:r>
      <w:r w:rsidRPr="007D5CDA">
        <w:rPr>
          <w:color w:val="990000"/>
        </w:rPr>
        <w:t>】</w:t>
      </w:r>
    </w:p>
    <w:p w14:paraId="43720D9F" w14:textId="77777777" w:rsidR="00F37A94" w:rsidRPr="00F37A94" w:rsidRDefault="00F37A94" w:rsidP="00F37A94">
      <w:pPr>
        <w:ind w:left="142"/>
        <w:jc w:val="both"/>
        <w:rPr>
          <w:rFonts w:ascii="Arial Unicode MS" w:hAnsi="Arial Unicode MS"/>
          <w:color w:val="990000"/>
          <w:sz w:val="20"/>
        </w:rPr>
      </w:pPr>
      <w:r w:rsidRPr="00F37A94">
        <w:rPr>
          <w:rFonts w:ascii="Arial Unicode MS" w:hAnsi="Arial Unicode MS" w:hint="eastAsia"/>
          <w:color w:val="990000"/>
          <w:sz w:val="20"/>
        </w:rPr>
        <w:t xml:space="preserve">第一章　</w:t>
      </w:r>
      <w:hyperlink w:anchor="_第一章__總則" w:history="1">
        <w:r w:rsidRPr="002C58EE">
          <w:rPr>
            <w:rStyle w:val="a3"/>
            <w:rFonts w:ascii="Arial Unicode MS" w:hAnsi="Arial Unicode MS" w:hint="eastAsia"/>
          </w:rPr>
          <w:t>總則</w:t>
        </w:r>
      </w:hyperlink>
      <w:r w:rsidRPr="00F37A94">
        <w:rPr>
          <w:rFonts w:ascii="Arial Unicode MS" w:hAnsi="Arial Unicode MS" w:hint="eastAsia"/>
          <w:color w:val="990000"/>
          <w:sz w:val="20"/>
          <w:szCs w:val="20"/>
        </w:rPr>
        <w:t xml:space="preserve">　</w:t>
      </w:r>
      <w:r w:rsidRPr="00F37A94">
        <w:rPr>
          <w:rFonts w:ascii="Arial Unicode MS" w:hAnsi="Arial Unicode MS"/>
          <w:color w:val="990000"/>
          <w:sz w:val="20"/>
          <w:szCs w:val="20"/>
        </w:rPr>
        <w:t>§</w:t>
      </w:r>
      <w:r w:rsidRPr="00F37A94">
        <w:rPr>
          <w:rFonts w:ascii="Arial Unicode MS" w:hAnsi="Arial Unicode MS" w:hint="eastAsia"/>
          <w:color w:val="990000"/>
          <w:sz w:val="20"/>
          <w:szCs w:val="20"/>
        </w:rPr>
        <w:t>1</w:t>
      </w:r>
    </w:p>
    <w:p w14:paraId="09817045" w14:textId="77777777" w:rsidR="00F37A94" w:rsidRPr="00F37A94" w:rsidRDefault="00F37A94" w:rsidP="00F37A94">
      <w:pPr>
        <w:ind w:left="142"/>
        <w:jc w:val="both"/>
        <w:rPr>
          <w:rFonts w:ascii="Arial Unicode MS" w:hAnsi="Arial Unicode MS"/>
          <w:color w:val="990000"/>
          <w:sz w:val="20"/>
        </w:rPr>
      </w:pPr>
      <w:r w:rsidRPr="00F37A94">
        <w:rPr>
          <w:rFonts w:ascii="Arial Unicode MS" w:hAnsi="Arial Unicode MS" w:hint="eastAsia"/>
          <w:color w:val="990000"/>
          <w:sz w:val="20"/>
        </w:rPr>
        <w:t xml:space="preserve">第二章　</w:t>
      </w:r>
      <w:hyperlink w:anchor="_第二章_傳銷行為的種類與查處機關" w:history="1">
        <w:r w:rsidRPr="00952086">
          <w:rPr>
            <w:rStyle w:val="a3"/>
            <w:rFonts w:ascii="Arial Unicode MS" w:hAnsi="Arial Unicode MS" w:hint="eastAsia"/>
          </w:rPr>
          <w:t>傳銷行為的種類與查處機關</w:t>
        </w:r>
      </w:hyperlink>
      <w:r w:rsidRPr="00F37A94">
        <w:rPr>
          <w:rFonts w:ascii="Arial Unicode MS" w:hAnsi="Arial Unicode MS" w:hint="eastAsia"/>
          <w:color w:val="990000"/>
          <w:sz w:val="20"/>
          <w:szCs w:val="20"/>
        </w:rPr>
        <w:t xml:space="preserve">　</w:t>
      </w:r>
      <w:r w:rsidRPr="00F37A94">
        <w:rPr>
          <w:rFonts w:ascii="Arial Unicode MS" w:hAnsi="Arial Unicode MS"/>
          <w:color w:val="990000"/>
          <w:sz w:val="20"/>
          <w:szCs w:val="20"/>
        </w:rPr>
        <w:t>§</w:t>
      </w:r>
      <w:r w:rsidR="00952086">
        <w:rPr>
          <w:rFonts w:ascii="Arial Unicode MS" w:hAnsi="Arial Unicode MS" w:hint="eastAsia"/>
          <w:color w:val="990000"/>
          <w:sz w:val="20"/>
          <w:szCs w:val="20"/>
        </w:rPr>
        <w:t>7</w:t>
      </w:r>
    </w:p>
    <w:p w14:paraId="45BCC2EF" w14:textId="77777777" w:rsidR="00F37A94" w:rsidRPr="00F37A94" w:rsidRDefault="00F37A94" w:rsidP="00F37A94">
      <w:pPr>
        <w:ind w:left="142"/>
        <w:jc w:val="both"/>
        <w:rPr>
          <w:rFonts w:ascii="Arial Unicode MS" w:hAnsi="Arial Unicode MS"/>
          <w:color w:val="990000"/>
          <w:sz w:val="20"/>
        </w:rPr>
      </w:pPr>
      <w:r w:rsidRPr="00F37A94">
        <w:rPr>
          <w:rFonts w:ascii="Arial Unicode MS" w:hAnsi="Arial Unicode MS" w:hint="eastAsia"/>
          <w:color w:val="990000"/>
          <w:sz w:val="20"/>
        </w:rPr>
        <w:t xml:space="preserve">第三章　</w:t>
      </w:r>
      <w:hyperlink w:anchor="_第三章__查處措施和程式" w:history="1">
        <w:r w:rsidRPr="002C58EE">
          <w:rPr>
            <w:rStyle w:val="a3"/>
            <w:rFonts w:ascii="Arial Unicode MS" w:hAnsi="Arial Unicode MS" w:hint="eastAsia"/>
          </w:rPr>
          <w:t>查處措施和程式</w:t>
        </w:r>
      </w:hyperlink>
      <w:r w:rsidRPr="00F37A94">
        <w:rPr>
          <w:rFonts w:ascii="Arial Unicode MS" w:hAnsi="Arial Unicode MS" w:hint="eastAsia"/>
          <w:color w:val="990000"/>
          <w:sz w:val="20"/>
          <w:szCs w:val="20"/>
        </w:rPr>
        <w:t xml:space="preserve">　</w:t>
      </w:r>
      <w:r w:rsidRPr="00F37A94">
        <w:rPr>
          <w:rFonts w:ascii="Arial Unicode MS" w:hAnsi="Arial Unicode MS"/>
          <w:color w:val="990000"/>
          <w:sz w:val="20"/>
          <w:szCs w:val="20"/>
        </w:rPr>
        <w:t>§</w:t>
      </w:r>
      <w:r w:rsidRPr="00F37A94">
        <w:rPr>
          <w:rFonts w:ascii="Arial Unicode MS" w:hAnsi="Arial Unicode MS" w:hint="eastAsia"/>
          <w:color w:val="990000"/>
          <w:sz w:val="20"/>
          <w:szCs w:val="20"/>
        </w:rPr>
        <w:t>1</w:t>
      </w:r>
      <w:r w:rsidR="007D7AF8">
        <w:rPr>
          <w:rFonts w:ascii="Arial Unicode MS" w:hAnsi="Arial Unicode MS" w:hint="eastAsia"/>
          <w:color w:val="990000"/>
          <w:sz w:val="20"/>
          <w:szCs w:val="20"/>
        </w:rPr>
        <w:t>4</w:t>
      </w:r>
    </w:p>
    <w:p w14:paraId="758F29AE" w14:textId="77777777" w:rsidR="00F37A94" w:rsidRPr="00F37A94" w:rsidRDefault="00F37A94" w:rsidP="00F37A94">
      <w:pPr>
        <w:ind w:left="142"/>
        <w:jc w:val="both"/>
        <w:rPr>
          <w:rFonts w:ascii="Arial Unicode MS" w:hAnsi="Arial Unicode MS"/>
          <w:color w:val="990000"/>
          <w:sz w:val="20"/>
        </w:rPr>
      </w:pPr>
      <w:r w:rsidRPr="00F37A94">
        <w:rPr>
          <w:rFonts w:ascii="Arial Unicode MS" w:hAnsi="Arial Unicode MS" w:hint="eastAsia"/>
          <w:color w:val="990000"/>
          <w:sz w:val="20"/>
        </w:rPr>
        <w:t xml:space="preserve">第四章　</w:t>
      </w:r>
      <w:hyperlink w:anchor="_第四章__法律責任" w:history="1">
        <w:r w:rsidRPr="002C58EE">
          <w:rPr>
            <w:rStyle w:val="a3"/>
            <w:rFonts w:ascii="Arial Unicode MS" w:hAnsi="Arial Unicode MS" w:hint="eastAsia"/>
          </w:rPr>
          <w:t>法律責任</w:t>
        </w:r>
      </w:hyperlink>
      <w:r w:rsidRPr="00F37A94">
        <w:rPr>
          <w:rFonts w:ascii="Arial Unicode MS" w:hAnsi="Arial Unicode MS" w:hint="eastAsia"/>
          <w:color w:val="990000"/>
          <w:sz w:val="20"/>
          <w:szCs w:val="20"/>
        </w:rPr>
        <w:t xml:space="preserve">　</w:t>
      </w:r>
      <w:r w:rsidRPr="00F37A94">
        <w:rPr>
          <w:rFonts w:ascii="Arial Unicode MS" w:hAnsi="Arial Unicode MS"/>
          <w:color w:val="990000"/>
          <w:sz w:val="20"/>
          <w:szCs w:val="20"/>
        </w:rPr>
        <w:t>§</w:t>
      </w:r>
      <w:r w:rsidR="007D7AF8">
        <w:rPr>
          <w:rFonts w:ascii="Arial Unicode MS" w:hAnsi="Arial Unicode MS" w:hint="eastAsia"/>
          <w:color w:val="990000"/>
          <w:sz w:val="20"/>
          <w:szCs w:val="20"/>
        </w:rPr>
        <w:t>24</w:t>
      </w:r>
    </w:p>
    <w:p w14:paraId="103EF6C5"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color w:val="990000"/>
          <w:sz w:val="20"/>
        </w:rPr>
        <w:t xml:space="preserve">第五章　</w:t>
      </w:r>
      <w:hyperlink w:anchor="_第五章__附" w:history="1">
        <w:r w:rsidRPr="002C58EE">
          <w:rPr>
            <w:rStyle w:val="a3"/>
            <w:rFonts w:ascii="Arial Unicode MS" w:hAnsi="Arial Unicode MS" w:hint="eastAsia"/>
          </w:rPr>
          <w:t>附則</w:t>
        </w:r>
      </w:hyperlink>
      <w:r w:rsidRPr="00F37A94">
        <w:rPr>
          <w:rFonts w:ascii="Arial Unicode MS" w:hAnsi="Arial Unicode MS" w:hint="eastAsia"/>
          <w:color w:val="990000"/>
          <w:sz w:val="20"/>
          <w:szCs w:val="20"/>
        </w:rPr>
        <w:t xml:space="preserve">　</w:t>
      </w:r>
      <w:r w:rsidRPr="00F37A94">
        <w:rPr>
          <w:rFonts w:ascii="Arial Unicode MS" w:hAnsi="Arial Unicode MS"/>
          <w:color w:val="990000"/>
          <w:sz w:val="20"/>
          <w:szCs w:val="20"/>
        </w:rPr>
        <w:t>§</w:t>
      </w:r>
      <w:r w:rsidR="007D7AF8">
        <w:rPr>
          <w:rFonts w:ascii="Arial Unicode MS" w:hAnsi="Arial Unicode MS" w:hint="eastAsia"/>
          <w:color w:val="990000"/>
          <w:sz w:val="20"/>
          <w:szCs w:val="20"/>
        </w:rPr>
        <w:t>30</w:t>
      </w:r>
    </w:p>
    <w:p w14:paraId="5A8D8F19" w14:textId="77777777" w:rsidR="00E52397" w:rsidRPr="00F37A94" w:rsidRDefault="00E52397" w:rsidP="00806F82">
      <w:pPr>
        <w:jc w:val="both"/>
        <w:rPr>
          <w:rFonts w:ascii="Arial Unicode MS" w:hAnsi="Arial Unicode MS"/>
          <w:color w:val="666699"/>
          <w:sz w:val="20"/>
        </w:rPr>
      </w:pPr>
    </w:p>
    <w:p w14:paraId="03B7A061" w14:textId="77777777" w:rsidR="00E52397" w:rsidRPr="007D5CDA" w:rsidRDefault="00E52397" w:rsidP="007D5CDA">
      <w:pPr>
        <w:pStyle w:val="1"/>
        <w:rPr>
          <w:color w:val="990000"/>
        </w:rPr>
      </w:pPr>
      <w:r w:rsidRPr="007D5CDA">
        <w:rPr>
          <w:color w:val="990000"/>
        </w:rPr>
        <w:t>【</w:t>
      </w:r>
      <w:r w:rsidRPr="007D5CDA">
        <w:rPr>
          <w:rFonts w:hint="eastAsia"/>
          <w:color w:val="990000"/>
        </w:rPr>
        <w:t>法規內容</w:t>
      </w:r>
      <w:r w:rsidRPr="007D5CDA">
        <w:rPr>
          <w:color w:val="990000"/>
        </w:rPr>
        <w:t>】</w:t>
      </w:r>
    </w:p>
    <w:p w14:paraId="36906B1A" w14:textId="77777777" w:rsidR="00F37A94" w:rsidRPr="007D5CDA" w:rsidRDefault="00F37A94" w:rsidP="007D5CDA">
      <w:pPr>
        <w:pStyle w:val="1"/>
      </w:pPr>
      <w:bookmarkStart w:id="3" w:name="_第一章__總則"/>
      <w:bookmarkEnd w:id="3"/>
      <w:r w:rsidRPr="007D5CDA">
        <w:rPr>
          <w:rFonts w:hint="eastAsia"/>
        </w:rPr>
        <w:t>第一章　　總</w:t>
      </w:r>
      <w:r w:rsidR="007D5CDA" w:rsidRPr="007D5CDA">
        <w:rPr>
          <w:rFonts w:hint="eastAsia"/>
        </w:rPr>
        <w:t xml:space="preserve">　</w:t>
      </w:r>
      <w:r w:rsidRPr="007D5CDA">
        <w:rPr>
          <w:rFonts w:hint="eastAsia"/>
        </w:rPr>
        <w:t>則</w:t>
      </w:r>
    </w:p>
    <w:p w14:paraId="5D699152" w14:textId="77777777" w:rsidR="00F37A94" w:rsidRPr="007D5CDA" w:rsidRDefault="00F37A94" w:rsidP="007D5CDA">
      <w:pPr>
        <w:pStyle w:val="2"/>
      </w:pPr>
      <w:r w:rsidRPr="007D5CDA">
        <w:rPr>
          <w:rFonts w:hint="eastAsia"/>
        </w:rPr>
        <w:t>第</w:t>
      </w:r>
      <w:r w:rsidR="00A87E94">
        <w:rPr>
          <w:rFonts w:hint="eastAsia"/>
        </w:rPr>
        <w:t>1</w:t>
      </w:r>
      <w:r w:rsidRPr="007D5CDA">
        <w:rPr>
          <w:rFonts w:hint="eastAsia"/>
        </w:rPr>
        <w:t>條</w:t>
      </w:r>
    </w:p>
    <w:p w14:paraId="35F8DE91"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為了防止欺詐，保護公民、法人和其他組織的合法權益，維護社會主義市場經濟秩序，保持社會穩定，制定本條例。</w:t>
      </w:r>
    </w:p>
    <w:p w14:paraId="277F2A1B" w14:textId="77777777" w:rsidR="00F37A94" w:rsidRPr="00AB2BBF" w:rsidRDefault="00F37A94" w:rsidP="007D5CDA">
      <w:pPr>
        <w:pStyle w:val="2"/>
      </w:pPr>
      <w:r w:rsidRPr="00AB2BBF">
        <w:rPr>
          <w:rFonts w:hint="eastAsia"/>
        </w:rPr>
        <w:t>第</w:t>
      </w:r>
      <w:r w:rsidR="00A87E94">
        <w:rPr>
          <w:rFonts w:hint="eastAsia"/>
        </w:rPr>
        <w:t>2</w:t>
      </w:r>
      <w:r w:rsidRPr="00AB2BBF">
        <w:rPr>
          <w:rFonts w:hint="eastAsia"/>
        </w:rPr>
        <w:t>條</w:t>
      </w:r>
    </w:p>
    <w:p w14:paraId="547F27F2"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本條例所稱傳銷，是指組織者或者經營者發展人員，通過對被發展人員以其直接或者間接發展的人員數量或者銷售業績為</w:t>
      </w:r>
    </w:p>
    <w:p w14:paraId="2D2C5C76"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依據計算和給付報酬，或者要求被發展人員以交納一定費用為條件取得加入資格等方式牟取非法利益，擾亂經濟秩序，影響社會穩定的行為。</w:t>
      </w:r>
    </w:p>
    <w:p w14:paraId="19E3E3C6" w14:textId="77777777" w:rsidR="00F37A94" w:rsidRPr="00AB2BBF" w:rsidRDefault="00F37A94" w:rsidP="007D5CDA">
      <w:pPr>
        <w:pStyle w:val="2"/>
      </w:pPr>
      <w:r w:rsidRPr="00AB2BBF">
        <w:rPr>
          <w:rFonts w:hint="eastAsia"/>
        </w:rPr>
        <w:t>第</w:t>
      </w:r>
      <w:r w:rsidR="00A87E94">
        <w:rPr>
          <w:rFonts w:hint="eastAsia"/>
        </w:rPr>
        <w:t>3</w:t>
      </w:r>
      <w:r w:rsidRPr="00AB2BBF">
        <w:rPr>
          <w:rFonts w:hint="eastAsia"/>
        </w:rPr>
        <w:t>條</w:t>
      </w:r>
    </w:p>
    <w:p w14:paraId="56A5F2A7"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縣級以上地方人民政府應當加強對查處傳銷工作的領導，支持、督促各有關部門依法履行監督管理職責。</w:t>
      </w:r>
    </w:p>
    <w:p w14:paraId="375AD4B3"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縣級以上地方人民政府應當根據需要，建立查處傳銷工作的協調機制，對查處傳銷工作中的重大問題及時予以協調、解決。</w:t>
      </w:r>
    </w:p>
    <w:p w14:paraId="329E9D50" w14:textId="77777777" w:rsidR="00F37A94" w:rsidRPr="00AB2BBF" w:rsidRDefault="00F37A94" w:rsidP="005702D9">
      <w:pPr>
        <w:pStyle w:val="2"/>
      </w:pPr>
      <w:r w:rsidRPr="00AB2BBF">
        <w:rPr>
          <w:rFonts w:hint="eastAsia"/>
        </w:rPr>
        <w:t>第</w:t>
      </w:r>
      <w:r w:rsidR="00A87E94">
        <w:rPr>
          <w:rFonts w:hint="eastAsia"/>
        </w:rPr>
        <w:t>4</w:t>
      </w:r>
      <w:r w:rsidRPr="00AB2BBF">
        <w:rPr>
          <w:rFonts w:hint="eastAsia"/>
        </w:rPr>
        <w:t>條</w:t>
      </w:r>
    </w:p>
    <w:p w14:paraId="0A05C814"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工商行政管理部門、公安機關應當依照本條例的規定，在各自的職責範圍內查處傳銷行為。</w:t>
      </w:r>
    </w:p>
    <w:p w14:paraId="1AD95BB8" w14:textId="77777777" w:rsidR="00F37A94" w:rsidRPr="00AB2BBF" w:rsidRDefault="00F37A94" w:rsidP="005702D9">
      <w:pPr>
        <w:pStyle w:val="2"/>
      </w:pPr>
      <w:r w:rsidRPr="00AB2BBF">
        <w:rPr>
          <w:rFonts w:hint="eastAsia"/>
        </w:rPr>
        <w:lastRenderedPageBreak/>
        <w:t>第</w:t>
      </w:r>
      <w:r w:rsidR="00A87E94">
        <w:rPr>
          <w:rFonts w:hint="eastAsia"/>
        </w:rPr>
        <w:t>5</w:t>
      </w:r>
      <w:r w:rsidRPr="00AB2BBF">
        <w:rPr>
          <w:rFonts w:hint="eastAsia"/>
        </w:rPr>
        <w:t>條</w:t>
      </w:r>
    </w:p>
    <w:p w14:paraId="1FA05B04"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工商行政管理部門、公安機關依法查處傳銷行為，應當堅持教育與處罰相結合的原則，教育公民、法人或者其他組織自覺守法。</w:t>
      </w:r>
    </w:p>
    <w:p w14:paraId="65D072A1" w14:textId="77777777" w:rsidR="00F37A94" w:rsidRPr="00AB2BBF" w:rsidRDefault="00F37A94" w:rsidP="005702D9">
      <w:pPr>
        <w:pStyle w:val="2"/>
      </w:pPr>
      <w:r w:rsidRPr="00AB2BBF">
        <w:rPr>
          <w:rFonts w:hint="eastAsia"/>
        </w:rPr>
        <w:t>第</w:t>
      </w:r>
      <w:r w:rsidR="00A87E94">
        <w:rPr>
          <w:rFonts w:hint="eastAsia"/>
        </w:rPr>
        <w:t>6</w:t>
      </w:r>
      <w:r w:rsidRPr="00AB2BBF">
        <w:rPr>
          <w:rFonts w:hint="eastAsia"/>
        </w:rPr>
        <w:t>條</w:t>
      </w:r>
    </w:p>
    <w:p w14:paraId="08CA83F3" w14:textId="77777777" w:rsid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任何單位和個人有權向工商行政管理部門、公安機關舉報傳銷行為。工商行政管理部門、公安機關接到舉報後，應當立即調查核實，依法查處，並為舉報人保密；經調查屬實的，依照國家有關規定對舉報人給予獎勵。</w:t>
      </w:r>
    </w:p>
    <w:p w14:paraId="5C34C59C" w14:textId="6D64282E" w:rsidR="00F37A94" w:rsidRPr="00F37A94" w:rsidRDefault="00F37A94" w:rsidP="00F37A94">
      <w:pPr>
        <w:ind w:left="142"/>
        <w:jc w:val="both"/>
        <w:rPr>
          <w:rFonts w:ascii="Arial Unicode MS" w:hAnsi="Arial Unicode MS"/>
          <w:sz w:val="20"/>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83519">
        <w:rPr>
          <w:rFonts w:ascii="Arial Unicode MS" w:hAnsi="Arial Unicode MS" w:hint="eastAsia"/>
          <w:color w:val="808000"/>
          <w:sz w:val="18"/>
        </w:rPr>
        <w:t>〉〉</w:t>
      </w:r>
    </w:p>
    <w:p w14:paraId="6F8DE4AF" w14:textId="77777777" w:rsidR="00F37A94" w:rsidRPr="00F37A94" w:rsidRDefault="00F37A94" w:rsidP="007D5CDA">
      <w:pPr>
        <w:pStyle w:val="1"/>
      </w:pPr>
      <w:bookmarkStart w:id="4" w:name="_第二章_傳銷行為的種類與查處機關"/>
      <w:bookmarkEnd w:id="4"/>
      <w:r w:rsidRPr="00F37A94">
        <w:rPr>
          <w:rFonts w:hint="eastAsia"/>
        </w:rPr>
        <w:t>第二章</w:t>
      </w:r>
      <w:r w:rsidR="00952086">
        <w:rPr>
          <w:rFonts w:hint="eastAsia"/>
        </w:rPr>
        <w:t xml:space="preserve">　　</w:t>
      </w:r>
      <w:r w:rsidRPr="00F37A94">
        <w:rPr>
          <w:rFonts w:hint="eastAsia"/>
        </w:rPr>
        <w:t>傳銷行為的種類與查處機關</w:t>
      </w:r>
    </w:p>
    <w:p w14:paraId="318B06CF" w14:textId="77777777" w:rsidR="00F37A94" w:rsidRPr="00AB2BBF" w:rsidRDefault="00F37A94" w:rsidP="005702D9">
      <w:pPr>
        <w:pStyle w:val="2"/>
      </w:pPr>
      <w:bookmarkStart w:id="5" w:name="a7"/>
      <w:bookmarkEnd w:id="5"/>
      <w:r w:rsidRPr="00AB2BBF">
        <w:rPr>
          <w:rFonts w:hint="eastAsia"/>
        </w:rPr>
        <w:t>第</w:t>
      </w:r>
      <w:r w:rsidR="00A87E94">
        <w:rPr>
          <w:rFonts w:hint="eastAsia"/>
        </w:rPr>
        <w:t>7</w:t>
      </w:r>
      <w:r w:rsidRPr="00AB2BBF">
        <w:rPr>
          <w:rFonts w:hint="eastAsia"/>
        </w:rPr>
        <w:t>條</w:t>
      </w:r>
      <w:r w:rsidR="005F56C8" w:rsidRPr="005702D9">
        <w:rPr>
          <w:rFonts w:hint="eastAsia"/>
          <w:b w:val="0"/>
          <w:color w:val="5F5F5F"/>
          <w:sz w:val="18"/>
        </w:rPr>
        <w:t>【相關罰則】</w:t>
      </w:r>
      <w:hyperlink w:anchor="a24" w:history="1">
        <w:r w:rsidR="005F56C8" w:rsidRPr="005702D9">
          <w:rPr>
            <w:rStyle w:val="a3"/>
            <w:rFonts w:ascii="Arial Unicode MS" w:hAnsi="Arial Unicode MS" w:hint="eastAsia"/>
            <w:b w:val="0"/>
            <w:color w:val="5F5F5F"/>
            <w:sz w:val="18"/>
            <w:szCs w:val="20"/>
          </w:rPr>
          <w:t>§</w:t>
        </w:r>
        <w:r w:rsidR="005F56C8" w:rsidRPr="005702D9">
          <w:rPr>
            <w:rStyle w:val="a3"/>
            <w:rFonts w:ascii="Arial Unicode MS" w:hAnsi="Arial Unicode MS" w:hint="eastAsia"/>
            <w:b w:val="0"/>
            <w:color w:val="5F5F5F"/>
            <w:sz w:val="18"/>
            <w:szCs w:val="20"/>
          </w:rPr>
          <w:t>24</w:t>
        </w:r>
      </w:hyperlink>
      <w:r w:rsidR="005F56C8" w:rsidRPr="005702D9">
        <w:rPr>
          <w:rFonts w:ascii="新細明體" w:cs="新細明體" w:hint="eastAsia"/>
          <w:b w:val="0"/>
          <w:color w:val="5F5F5F"/>
          <w:kern w:val="0"/>
          <w:sz w:val="18"/>
          <w:szCs w:val="18"/>
          <w:lang w:val="zh-TW"/>
        </w:rPr>
        <w:t>；</w:t>
      </w:r>
      <w:hyperlink w:anchor="a26" w:history="1">
        <w:r w:rsidR="005F56C8" w:rsidRPr="005702D9">
          <w:rPr>
            <w:rStyle w:val="a3"/>
            <w:rFonts w:ascii="Arial Unicode MS" w:hAnsi="Arial Unicode MS" w:hint="eastAsia"/>
            <w:b w:val="0"/>
            <w:color w:val="5F5F5F"/>
            <w:sz w:val="18"/>
            <w:szCs w:val="20"/>
          </w:rPr>
          <w:t>§</w:t>
        </w:r>
        <w:r w:rsidR="005F56C8" w:rsidRPr="005702D9">
          <w:rPr>
            <w:rStyle w:val="a3"/>
            <w:rFonts w:ascii="Arial Unicode MS" w:hAnsi="Arial Unicode MS" w:hint="eastAsia"/>
            <w:b w:val="0"/>
            <w:color w:val="5F5F5F"/>
            <w:sz w:val="18"/>
            <w:szCs w:val="20"/>
          </w:rPr>
          <w:t>26</w:t>
        </w:r>
      </w:hyperlink>
    </w:p>
    <w:p w14:paraId="3D910924"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下列行為，屬於傳銷行為：</w:t>
      </w:r>
    </w:p>
    <w:p w14:paraId="00189109"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一）組織者或者經營者通過發展人員，要求被發展人員發展其他人員加入，對發展的人員以其直接或者間接滾動發展的人員數量為依據計算和給付報酬（包括物質獎勵和其他經濟利益，下同），牟取非法利益的；</w:t>
      </w:r>
    </w:p>
    <w:p w14:paraId="4980A969"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（二）組織者或者經營者通過發展人員，要求被發展人員交納費用或者以認購商品等方式變相交納費用，取得加入或者發展其他人員加入的資格，牟取非法利益的；</w:t>
      </w:r>
    </w:p>
    <w:p w14:paraId="67F00240"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（三）組織者或者經營者通過發展人員，要求被發展人員發展其他人員加入，形成上下線關係，並以下線的銷售業績為依據計算和給付上線報酬，牟取非法利益的。</w:t>
      </w:r>
    </w:p>
    <w:p w14:paraId="7D93484F" w14:textId="77777777" w:rsidR="00F37A94" w:rsidRPr="00AB2BBF" w:rsidRDefault="00F37A94" w:rsidP="005702D9">
      <w:pPr>
        <w:pStyle w:val="2"/>
      </w:pPr>
      <w:r w:rsidRPr="00AB2BBF">
        <w:rPr>
          <w:rFonts w:hint="eastAsia"/>
        </w:rPr>
        <w:t>第</w:t>
      </w:r>
      <w:r w:rsidR="00A87E94">
        <w:rPr>
          <w:rFonts w:hint="eastAsia"/>
        </w:rPr>
        <w:t>8</w:t>
      </w:r>
      <w:r w:rsidRPr="00AB2BBF">
        <w:rPr>
          <w:rFonts w:hint="eastAsia"/>
        </w:rPr>
        <w:t>條</w:t>
      </w:r>
    </w:p>
    <w:p w14:paraId="1649F098"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工商行政管理部門依照本條例的規定，負責查處本條例</w:t>
      </w:r>
      <w:hyperlink w:anchor="a7" w:history="1">
        <w:r w:rsidR="00E5044A" w:rsidRPr="00E5044A">
          <w:rPr>
            <w:rStyle w:val="a3"/>
            <w:rFonts w:ascii="Arial Unicode MS" w:hAnsi="Arial Unicode MS" w:hint="eastAsia"/>
          </w:rPr>
          <w:t>第七條</w:t>
        </w:r>
      </w:hyperlink>
      <w:r w:rsidR="00F37A94" w:rsidRPr="00F37A94">
        <w:rPr>
          <w:rFonts w:ascii="Arial Unicode MS" w:hAnsi="Arial Unicode MS" w:hint="eastAsia"/>
          <w:sz w:val="20"/>
        </w:rPr>
        <w:t>規定的傳銷行為。</w:t>
      </w:r>
    </w:p>
    <w:p w14:paraId="2D9FAE4B" w14:textId="77777777" w:rsidR="00F37A94" w:rsidRPr="00AB2BBF" w:rsidRDefault="00F37A94" w:rsidP="005702D9">
      <w:pPr>
        <w:pStyle w:val="2"/>
      </w:pPr>
      <w:r w:rsidRPr="00AB2BBF">
        <w:rPr>
          <w:rFonts w:hint="eastAsia"/>
        </w:rPr>
        <w:t>第</w:t>
      </w:r>
      <w:r w:rsidR="00A87E94">
        <w:rPr>
          <w:rFonts w:hint="eastAsia"/>
        </w:rPr>
        <w:t>9</w:t>
      </w:r>
      <w:r w:rsidRPr="00AB2BBF">
        <w:rPr>
          <w:rFonts w:hint="eastAsia"/>
        </w:rPr>
        <w:t>條</w:t>
      </w:r>
    </w:p>
    <w:p w14:paraId="61EE3A20"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利用互聯網等媒體發佈含有本條例</w:t>
      </w:r>
      <w:hyperlink w:anchor="a7" w:history="1">
        <w:r w:rsidR="00E5044A" w:rsidRPr="00E5044A">
          <w:rPr>
            <w:rStyle w:val="a3"/>
            <w:rFonts w:ascii="Arial Unicode MS" w:hAnsi="Arial Unicode MS" w:hint="eastAsia"/>
          </w:rPr>
          <w:t>第七條</w:t>
        </w:r>
      </w:hyperlink>
      <w:r w:rsidR="00F37A94" w:rsidRPr="00F37A94">
        <w:rPr>
          <w:rFonts w:ascii="Arial Unicode MS" w:hAnsi="Arial Unicode MS" w:hint="eastAsia"/>
          <w:sz w:val="20"/>
        </w:rPr>
        <w:t>規定的傳銷資訊的，由工商行政管理部門會同電信等有關部門依照本條例的規定查處。</w:t>
      </w:r>
    </w:p>
    <w:p w14:paraId="0B38D763" w14:textId="77777777" w:rsidR="00F37A94" w:rsidRPr="00AB2BBF" w:rsidRDefault="00A87E94" w:rsidP="005702D9">
      <w:pPr>
        <w:pStyle w:val="2"/>
      </w:pPr>
      <w:bookmarkStart w:id="6" w:name="a10"/>
      <w:bookmarkEnd w:id="6"/>
      <w:r>
        <w:rPr>
          <w:rFonts w:hint="eastAsia"/>
        </w:rPr>
        <w:t>第</w:t>
      </w:r>
      <w:r>
        <w:rPr>
          <w:rFonts w:hint="eastAsia"/>
        </w:rPr>
        <w:t>1</w:t>
      </w:r>
      <w:r w:rsidR="005F711F">
        <w:rPr>
          <w:rFonts w:hint="eastAsia"/>
        </w:rPr>
        <w:t>0</w:t>
      </w:r>
      <w:r w:rsidR="00F37A94" w:rsidRPr="00AB2BBF">
        <w:rPr>
          <w:rFonts w:hint="eastAsia"/>
        </w:rPr>
        <w:t>條</w:t>
      </w:r>
      <w:r w:rsidR="005F56C8" w:rsidRPr="005702D9">
        <w:rPr>
          <w:rFonts w:hint="eastAsia"/>
          <w:b w:val="0"/>
          <w:color w:val="5F5F5F"/>
          <w:sz w:val="18"/>
        </w:rPr>
        <w:t>【相關罰則】</w:t>
      </w:r>
      <w:hyperlink w:anchor="a28" w:history="1">
        <w:r w:rsidR="005F56C8" w:rsidRPr="005702D9">
          <w:rPr>
            <w:rStyle w:val="a3"/>
            <w:rFonts w:ascii="Arial Unicode MS" w:hAnsi="Arial Unicode MS" w:hint="eastAsia"/>
            <w:b w:val="0"/>
            <w:color w:val="5F5F5F"/>
            <w:sz w:val="18"/>
            <w:szCs w:val="20"/>
          </w:rPr>
          <w:t>§</w:t>
        </w:r>
        <w:r w:rsidR="005F56C8" w:rsidRPr="005702D9">
          <w:rPr>
            <w:rStyle w:val="a3"/>
            <w:rFonts w:ascii="Arial Unicode MS" w:hAnsi="Arial Unicode MS" w:hint="eastAsia"/>
            <w:b w:val="0"/>
            <w:color w:val="5F5F5F"/>
            <w:sz w:val="18"/>
            <w:szCs w:val="20"/>
          </w:rPr>
          <w:t>28</w:t>
        </w:r>
      </w:hyperlink>
    </w:p>
    <w:p w14:paraId="1EABAAD0"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在傳銷中以介紹工作、從事經營活動等名義欺騙他人離開居所地非法聚集並限制其人身自由的，由公安機關會同工商行政管理部門依法查處。</w:t>
      </w:r>
    </w:p>
    <w:p w14:paraId="3AC4A9BB" w14:textId="77777777" w:rsidR="00F37A94" w:rsidRPr="00AB2BBF" w:rsidRDefault="00A87E94" w:rsidP="005702D9">
      <w:pPr>
        <w:pStyle w:val="2"/>
      </w:pPr>
      <w:r>
        <w:rPr>
          <w:rFonts w:hint="eastAsia"/>
        </w:rPr>
        <w:t>第</w:t>
      </w:r>
      <w:r>
        <w:rPr>
          <w:rFonts w:hint="eastAsia"/>
        </w:rPr>
        <w:t>11</w:t>
      </w:r>
      <w:r w:rsidR="00F37A94" w:rsidRPr="00AB2BBF">
        <w:rPr>
          <w:rFonts w:hint="eastAsia"/>
        </w:rPr>
        <w:t>條</w:t>
      </w:r>
    </w:p>
    <w:p w14:paraId="25B03F4E"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商務、教育、民政、財政、勞動保障、電信、稅務等有關部門和單位，應當依照各自職責和有關法律、行政法規的規定配合工商行政管理部門、公安機關查處傳銷行為。</w:t>
      </w:r>
    </w:p>
    <w:p w14:paraId="75795B0A" w14:textId="77777777" w:rsidR="00F37A94" w:rsidRPr="00AB2BBF" w:rsidRDefault="00A87E94" w:rsidP="005702D9">
      <w:pPr>
        <w:pStyle w:val="2"/>
      </w:pPr>
      <w:r>
        <w:rPr>
          <w:rFonts w:hint="eastAsia"/>
        </w:rPr>
        <w:t>第</w:t>
      </w:r>
      <w:r>
        <w:rPr>
          <w:rFonts w:hint="eastAsia"/>
        </w:rPr>
        <w:t>12</w:t>
      </w:r>
      <w:r w:rsidR="00F37A94" w:rsidRPr="00AB2BBF">
        <w:rPr>
          <w:rFonts w:hint="eastAsia"/>
        </w:rPr>
        <w:t>條</w:t>
      </w:r>
    </w:p>
    <w:p w14:paraId="4BA68851"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農村村民委員會、城市居民委員會等基層組織，應當在當地人民政府指導下，協助有關部門查處傳銷行為。</w:t>
      </w:r>
    </w:p>
    <w:p w14:paraId="4EC864AA" w14:textId="77777777" w:rsidR="00F37A94" w:rsidRPr="00AB2BBF" w:rsidRDefault="00A87E94" w:rsidP="005702D9">
      <w:pPr>
        <w:pStyle w:val="2"/>
      </w:pPr>
      <w:r>
        <w:rPr>
          <w:rFonts w:hint="eastAsia"/>
        </w:rPr>
        <w:t>第</w:t>
      </w:r>
      <w:r>
        <w:rPr>
          <w:rFonts w:hint="eastAsia"/>
        </w:rPr>
        <w:t>13</w:t>
      </w:r>
      <w:r w:rsidR="00F37A94" w:rsidRPr="00AB2BBF">
        <w:rPr>
          <w:rFonts w:hint="eastAsia"/>
        </w:rPr>
        <w:t>條</w:t>
      </w:r>
    </w:p>
    <w:p w14:paraId="78CAB468" w14:textId="77777777" w:rsid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工商行政管理部門查處傳銷行為，對涉嫌犯罪的，應當依法移送公安機關立案偵查；公安機關立案偵查傳銷案件，對經偵查不構成犯罪的，應當依法移交工商行政管理部門查處。</w:t>
      </w:r>
    </w:p>
    <w:p w14:paraId="1377F424" w14:textId="0C0EA636" w:rsidR="00F37A94" w:rsidRPr="00F37A94" w:rsidRDefault="00F37A94" w:rsidP="00F37A94">
      <w:pPr>
        <w:ind w:left="142"/>
        <w:jc w:val="both"/>
        <w:rPr>
          <w:rFonts w:ascii="Arial Unicode MS" w:hAnsi="Arial Unicode MS"/>
          <w:sz w:val="20"/>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83519">
        <w:rPr>
          <w:rFonts w:ascii="Arial Unicode MS" w:hAnsi="Arial Unicode MS" w:hint="eastAsia"/>
          <w:color w:val="808000"/>
          <w:sz w:val="18"/>
        </w:rPr>
        <w:t>〉〉</w:t>
      </w:r>
    </w:p>
    <w:p w14:paraId="7BDDD461" w14:textId="77777777" w:rsidR="00F37A94" w:rsidRPr="00F37A94" w:rsidRDefault="00F37A94" w:rsidP="007D5CDA">
      <w:pPr>
        <w:pStyle w:val="1"/>
      </w:pPr>
      <w:bookmarkStart w:id="7" w:name="_第三章__查處措施和程式"/>
      <w:bookmarkEnd w:id="7"/>
      <w:r w:rsidRPr="00F37A94">
        <w:rPr>
          <w:rFonts w:hint="eastAsia"/>
        </w:rPr>
        <w:lastRenderedPageBreak/>
        <w:t>第三章</w:t>
      </w:r>
      <w:r>
        <w:rPr>
          <w:rFonts w:hint="eastAsia"/>
        </w:rPr>
        <w:t xml:space="preserve">　　</w:t>
      </w:r>
      <w:r w:rsidRPr="00F37A94">
        <w:rPr>
          <w:rFonts w:hint="eastAsia"/>
        </w:rPr>
        <w:t>查處措施和程式</w:t>
      </w:r>
    </w:p>
    <w:p w14:paraId="08297C23" w14:textId="77777777" w:rsidR="00F37A94" w:rsidRPr="00AB2BBF" w:rsidRDefault="00A87E94" w:rsidP="005702D9">
      <w:pPr>
        <w:pStyle w:val="2"/>
      </w:pPr>
      <w:r>
        <w:rPr>
          <w:rFonts w:hint="eastAsia"/>
        </w:rPr>
        <w:t>第</w:t>
      </w:r>
      <w:r>
        <w:rPr>
          <w:rFonts w:hint="eastAsia"/>
        </w:rPr>
        <w:t>14</w:t>
      </w:r>
      <w:r w:rsidR="00F37A94" w:rsidRPr="00AB2BBF">
        <w:rPr>
          <w:rFonts w:hint="eastAsia"/>
        </w:rPr>
        <w:t>條</w:t>
      </w:r>
    </w:p>
    <w:p w14:paraId="3A8BF799"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縣級以上工商行政管理部門對涉嫌傳銷行為進行查處時，可以採取下列措施：</w:t>
      </w:r>
    </w:p>
    <w:p w14:paraId="26A67ADB" w14:textId="77777777" w:rsidR="00F37A94" w:rsidRPr="00F37A94" w:rsidRDefault="00AB2BBF" w:rsidP="00F37A94">
      <w:pPr>
        <w:ind w:left="142"/>
        <w:jc w:val="both"/>
        <w:rPr>
          <w:rFonts w:ascii="Arial Unicode MS" w:hAnsi="Arial Unicode MS"/>
          <w:sz w:val="20"/>
        </w:rPr>
      </w:pPr>
      <w:r>
        <w:rPr>
          <w:rFonts w:ascii="Arial Unicode MS" w:hAnsi="Arial Unicode MS" w:hint="eastAsia"/>
          <w:sz w:val="20"/>
        </w:rPr>
        <w:t xml:space="preserve">　　</w:t>
      </w:r>
      <w:r w:rsidR="00F37A94" w:rsidRPr="00F37A94">
        <w:rPr>
          <w:rFonts w:ascii="Arial Unicode MS" w:hAnsi="Arial Unicode MS" w:hint="eastAsia"/>
          <w:sz w:val="20"/>
        </w:rPr>
        <w:t>（一）責令停止相關活動；</w:t>
      </w:r>
    </w:p>
    <w:p w14:paraId="5BC3E7F7"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（二）向涉嫌傳銷的組織者、經營者和個人調查、瞭解有關情況；</w:t>
      </w:r>
    </w:p>
    <w:p w14:paraId="05A6E8B8"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（三）進入涉嫌傳銷的經營場所和培訓、集會等活動場所，實施現場檢查；</w:t>
      </w:r>
    </w:p>
    <w:p w14:paraId="6F3A833A"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（四）查閱、複製、查封、扣押涉嫌傳銷的有關合同、票據、帳簿等資料；</w:t>
      </w:r>
    </w:p>
    <w:p w14:paraId="32C9449A"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（五）查封、扣押涉嫌專門用於傳銷的產品（商品）、工具、設備、原材料等財物；</w:t>
      </w:r>
    </w:p>
    <w:p w14:paraId="6E599D96"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（六）查封涉嫌傳銷的經營場所；</w:t>
      </w:r>
    </w:p>
    <w:p w14:paraId="7EFF74EE"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（七）查詢涉嫌傳銷的組織者或者經營者的帳戶及與存款有關的會計憑證、帳簿、對帳單等；</w:t>
      </w:r>
    </w:p>
    <w:p w14:paraId="2935CEF7"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（八）對有證據證明轉移或者隱匿違法資金的，可以申請司法機關予以凍結。</w:t>
      </w:r>
    </w:p>
    <w:p w14:paraId="1051A0FE"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工商行政管理部門採取前款規定的措施，應當向縣級以上工商行政管理部門主要負責人書面或者口頭報告並經批准。遇有緊急情況需要當場採取前款規定措施的，應當在事後立即報告並補辦相關手續；其中，實施前款規定的查封、扣押，以及第（七）項、第（八）項規定的措施，應當事先經縣級以上工商行政管理部門主要負責人書面批准。</w:t>
      </w:r>
    </w:p>
    <w:p w14:paraId="2699D9C9" w14:textId="77777777" w:rsidR="00F37A94" w:rsidRPr="00AB2BBF" w:rsidRDefault="00A87E94" w:rsidP="005702D9">
      <w:pPr>
        <w:pStyle w:val="2"/>
      </w:pPr>
      <w:r>
        <w:rPr>
          <w:rFonts w:hint="eastAsia"/>
        </w:rPr>
        <w:t>第</w:t>
      </w:r>
      <w:r>
        <w:rPr>
          <w:rFonts w:hint="eastAsia"/>
        </w:rPr>
        <w:t>15</w:t>
      </w:r>
      <w:r w:rsidR="00F37A94" w:rsidRPr="00AB2BBF">
        <w:rPr>
          <w:rFonts w:hint="eastAsia"/>
        </w:rPr>
        <w:t>條</w:t>
      </w:r>
    </w:p>
    <w:p w14:paraId="7744BF9E"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工商行政管理部門對涉嫌傳銷行為進行查處時，執法人員不得少於</w:t>
      </w:r>
      <w:r w:rsidRPr="00F37A94">
        <w:rPr>
          <w:rFonts w:ascii="Arial Unicode MS" w:hAnsi="Arial Unicode MS" w:hint="eastAsia"/>
          <w:sz w:val="20"/>
        </w:rPr>
        <w:t>2</w:t>
      </w:r>
      <w:r w:rsidRPr="00F37A94">
        <w:rPr>
          <w:rFonts w:ascii="Arial Unicode MS" w:hAnsi="Arial Unicode MS" w:hint="eastAsia"/>
          <w:sz w:val="20"/>
        </w:rPr>
        <w:t>人。</w:t>
      </w:r>
    </w:p>
    <w:p w14:paraId="23781B2B"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執法人員與當事人有直接利害關係的，應當回避。</w:t>
      </w:r>
    </w:p>
    <w:p w14:paraId="51B70362" w14:textId="77777777" w:rsidR="00F37A94" w:rsidRPr="00AB2BBF" w:rsidRDefault="00A87E94" w:rsidP="005702D9">
      <w:pPr>
        <w:pStyle w:val="2"/>
      </w:pPr>
      <w:r>
        <w:rPr>
          <w:rFonts w:hint="eastAsia"/>
        </w:rPr>
        <w:t>第</w:t>
      </w:r>
      <w:r>
        <w:rPr>
          <w:rFonts w:hint="eastAsia"/>
        </w:rPr>
        <w:t>16</w:t>
      </w:r>
      <w:r w:rsidR="00F37A94" w:rsidRPr="00AB2BBF">
        <w:rPr>
          <w:rFonts w:hint="eastAsia"/>
        </w:rPr>
        <w:t>條</w:t>
      </w:r>
    </w:p>
    <w:p w14:paraId="75099A5E"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工商行政管理部門的執法人員對涉嫌傳銷行為進行查處時，應當向當事人或者有關人員出示證件。</w:t>
      </w:r>
    </w:p>
    <w:p w14:paraId="0C740B34" w14:textId="77777777" w:rsidR="00F37A94" w:rsidRPr="00AB2BBF" w:rsidRDefault="00A87E94" w:rsidP="005702D9">
      <w:pPr>
        <w:pStyle w:val="2"/>
      </w:pPr>
      <w:r>
        <w:rPr>
          <w:rFonts w:hint="eastAsia"/>
        </w:rPr>
        <w:t>第</w:t>
      </w:r>
      <w:r>
        <w:rPr>
          <w:rFonts w:hint="eastAsia"/>
        </w:rPr>
        <w:t>17</w:t>
      </w:r>
      <w:r w:rsidR="00F37A94" w:rsidRPr="00AB2BBF">
        <w:rPr>
          <w:rFonts w:hint="eastAsia"/>
        </w:rPr>
        <w:t>條</w:t>
      </w:r>
    </w:p>
    <w:p w14:paraId="5ADE7187"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工商行政管理部門實施查封、扣押，應當向當事人當場交付查封、扣押決定書和查封、扣押財物及資料清單。</w:t>
      </w:r>
    </w:p>
    <w:p w14:paraId="22B62542"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在交通不便地區或者不及時實施查封、扣押可能影響案件查處的，可以先行實施查封、扣押，並應當在</w:t>
      </w:r>
      <w:r w:rsidRPr="00AB2BBF">
        <w:rPr>
          <w:rFonts w:ascii="Arial Unicode MS" w:hAnsi="Arial Unicode MS" w:hint="eastAsia"/>
          <w:color w:val="17365D"/>
          <w:sz w:val="20"/>
        </w:rPr>
        <w:t>24</w:t>
      </w:r>
      <w:r w:rsidRPr="00AB2BBF">
        <w:rPr>
          <w:rFonts w:ascii="Arial Unicode MS" w:hAnsi="Arial Unicode MS" w:hint="eastAsia"/>
          <w:color w:val="17365D"/>
          <w:sz w:val="20"/>
        </w:rPr>
        <w:t>小時內補辦查封、扣押決定書，送達當事人。</w:t>
      </w:r>
    </w:p>
    <w:p w14:paraId="40C006F4" w14:textId="77777777" w:rsidR="00F37A94" w:rsidRPr="00AB2BBF" w:rsidRDefault="00A87E94" w:rsidP="005702D9">
      <w:pPr>
        <w:pStyle w:val="2"/>
      </w:pPr>
      <w:r>
        <w:rPr>
          <w:rFonts w:hint="eastAsia"/>
        </w:rPr>
        <w:t>第</w:t>
      </w:r>
      <w:r>
        <w:rPr>
          <w:rFonts w:hint="eastAsia"/>
        </w:rPr>
        <w:t>18</w:t>
      </w:r>
      <w:r w:rsidR="00F37A94" w:rsidRPr="00AB2BBF">
        <w:rPr>
          <w:rFonts w:hint="eastAsia"/>
        </w:rPr>
        <w:t>條</w:t>
      </w:r>
    </w:p>
    <w:p w14:paraId="21D79E67"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工商行政管理部門實施查封、扣押的期限不得超過</w:t>
      </w:r>
      <w:r w:rsidRPr="00F37A94">
        <w:rPr>
          <w:rFonts w:ascii="Arial Unicode MS" w:hAnsi="Arial Unicode MS" w:hint="eastAsia"/>
          <w:sz w:val="20"/>
        </w:rPr>
        <w:t>30</w:t>
      </w:r>
      <w:r w:rsidRPr="00F37A94">
        <w:rPr>
          <w:rFonts w:ascii="Arial Unicode MS" w:hAnsi="Arial Unicode MS" w:hint="eastAsia"/>
          <w:sz w:val="20"/>
        </w:rPr>
        <w:t>日；案件情況複雜的，經縣級以上工商行政管理部門主要負責人批准，可以延長</w:t>
      </w:r>
      <w:r w:rsidRPr="00F37A94">
        <w:rPr>
          <w:rFonts w:ascii="Arial Unicode MS" w:hAnsi="Arial Unicode MS" w:hint="eastAsia"/>
          <w:sz w:val="20"/>
        </w:rPr>
        <w:t>15</w:t>
      </w:r>
      <w:r w:rsidRPr="00F37A94">
        <w:rPr>
          <w:rFonts w:ascii="Arial Unicode MS" w:hAnsi="Arial Unicode MS" w:hint="eastAsia"/>
          <w:sz w:val="20"/>
        </w:rPr>
        <w:t>日。</w:t>
      </w:r>
    </w:p>
    <w:p w14:paraId="67E48E23"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對被查封、扣押的財物，工商行政管理部門應當妥善保管，不得使用或者損毀；造成損失的，應當承擔賠償責任。但是，因不可抗力造成的損失除外。</w:t>
      </w:r>
    </w:p>
    <w:p w14:paraId="462DC1CF" w14:textId="77777777" w:rsidR="00F37A94" w:rsidRPr="00AB2BBF" w:rsidRDefault="00A87E94" w:rsidP="005702D9">
      <w:pPr>
        <w:pStyle w:val="2"/>
      </w:pPr>
      <w:r>
        <w:rPr>
          <w:rFonts w:hint="eastAsia"/>
        </w:rPr>
        <w:t>第</w:t>
      </w:r>
      <w:r>
        <w:rPr>
          <w:rFonts w:hint="eastAsia"/>
        </w:rPr>
        <w:t>19</w:t>
      </w:r>
      <w:r w:rsidR="00F37A94" w:rsidRPr="00AB2BBF">
        <w:rPr>
          <w:rFonts w:hint="eastAsia"/>
        </w:rPr>
        <w:t>條</w:t>
      </w:r>
    </w:p>
    <w:p w14:paraId="64710E05"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工商行政管理部門實施查封、扣押，應當及時查清事實，在查封、扣押期間作出處理決定。</w:t>
      </w:r>
    </w:p>
    <w:p w14:paraId="6033BE44"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對於經調查核實屬於傳銷行為的，應當依法沒收被查封、扣押的非法財物；對於經調查核實沒有傳銷行為或者不再需要查封、扣押的，應當在作出處理決定後立即解除查封，退還被扣押的財物。</w:t>
      </w:r>
    </w:p>
    <w:p w14:paraId="3C17187C"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工商行政管理部門逾期未作出處理決定的，被查封的物品視為解除查封，被扣押的財物應當予以退還。拒不退還的，當事人可以向人民法院提起行政訴訟。</w:t>
      </w:r>
    </w:p>
    <w:p w14:paraId="5D132875" w14:textId="77777777" w:rsidR="00F37A94" w:rsidRPr="00AB2BBF" w:rsidRDefault="00F37A94" w:rsidP="005702D9">
      <w:pPr>
        <w:pStyle w:val="2"/>
      </w:pPr>
      <w:r w:rsidRPr="00AB2BBF">
        <w:rPr>
          <w:rFonts w:hint="eastAsia"/>
        </w:rPr>
        <w:lastRenderedPageBreak/>
        <w:t>第</w:t>
      </w:r>
      <w:r w:rsidR="00A87E94">
        <w:rPr>
          <w:rFonts w:hint="eastAsia"/>
        </w:rPr>
        <w:t>20</w:t>
      </w:r>
      <w:r w:rsidR="00A87E94">
        <w:rPr>
          <w:rFonts w:hint="eastAsia"/>
        </w:rPr>
        <w:t>條</w:t>
      </w:r>
    </w:p>
    <w:p w14:paraId="4304016C"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工商行政管理部門及其工作人員違反本條例的規定使用或者損毀被查封、扣押的財物，造成當事人經濟損失的，應當承擔賠償責任。</w:t>
      </w:r>
    </w:p>
    <w:p w14:paraId="0BB75BD0" w14:textId="77777777" w:rsidR="00F37A94" w:rsidRPr="00AB2BBF" w:rsidRDefault="00F37A94" w:rsidP="005702D9">
      <w:pPr>
        <w:pStyle w:val="2"/>
      </w:pPr>
      <w:r w:rsidRPr="00AB2BBF">
        <w:rPr>
          <w:rFonts w:hint="eastAsia"/>
        </w:rPr>
        <w:t>第</w:t>
      </w:r>
      <w:r w:rsidR="00A87E94">
        <w:rPr>
          <w:rFonts w:hint="eastAsia"/>
        </w:rPr>
        <w:t>21</w:t>
      </w:r>
      <w:r w:rsidRPr="00AB2BBF">
        <w:rPr>
          <w:rFonts w:hint="eastAsia"/>
        </w:rPr>
        <w:t>條</w:t>
      </w:r>
    </w:p>
    <w:p w14:paraId="1449EA4B"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工商行政管理部門對涉嫌傳銷行為進行查處時，當事人有權陳述和申辯。</w:t>
      </w:r>
    </w:p>
    <w:p w14:paraId="72AE0DC5" w14:textId="77777777" w:rsidR="00F37A94" w:rsidRPr="00AB2BBF" w:rsidRDefault="00F37A94" w:rsidP="005702D9">
      <w:pPr>
        <w:pStyle w:val="2"/>
      </w:pPr>
      <w:r w:rsidRPr="00AB2BBF">
        <w:rPr>
          <w:rFonts w:hint="eastAsia"/>
        </w:rPr>
        <w:t>第</w:t>
      </w:r>
      <w:r w:rsidR="00A87E94">
        <w:rPr>
          <w:rFonts w:hint="eastAsia"/>
        </w:rPr>
        <w:t>22</w:t>
      </w:r>
      <w:r w:rsidRPr="00AB2BBF">
        <w:rPr>
          <w:rFonts w:hint="eastAsia"/>
        </w:rPr>
        <w:t>條</w:t>
      </w:r>
    </w:p>
    <w:p w14:paraId="1A532632"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工商行政管理部門對涉嫌傳銷行為進行查處時，應當製作現場筆錄。</w:t>
      </w:r>
    </w:p>
    <w:p w14:paraId="02ED07BC"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現場筆錄和查封、扣押清單由當事人、見證人和執法人員簽名或者蓋章，當事人不在現場或者當事人、見證人拒絕簽名或者蓋章的，執法人員應當在現場筆錄中予以</w:t>
      </w:r>
      <w:r w:rsidR="00AB2BBF">
        <w:rPr>
          <w:rFonts w:ascii="Arial Unicode MS" w:hAnsi="Arial Unicode MS" w:hint="eastAsia"/>
          <w:color w:val="17365D"/>
          <w:sz w:val="20"/>
        </w:rPr>
        <w:t>註明</w:t>
      </w:r>
      <w:r w:rsidRPr="00AB2BBF">
        <w:rPr>
          <w:rFonts w:ascii="Arial Unicode MS" w:hAnsi="Arial Unicode MS" w:hint="eastAsia"/>
          <w:color w:val="17365D"/>
          <w:sz w:val="20"/>
        </w:rPr>
        <w:t>。</w:t>
      </w:r>
    </w:p>
    <w:p w14:paraId="5A4E7A48" w14:textId="77777777" w:rsidR="00F37A94" w:rsidRPr="00AB2BBF" w:rsidRDefault="00F37A94" w:rsidP="005702D9">
      <w:pPr>
        <w:pStyle w:val="2"/>
      </w:pPr>
      <w:r w:rsidRPr="00AB2BBF">
        <w:rPr>
          <w:rFonts w:hint="eastAsia"/>
        </w:rPr>
        <w:t>第</w:t>
      </w:r>
      <w:r w:rsidR="00A87E94">
        <w:rPr>
          <w:rFonts w:hint="eastAsia"/>
        </w:rPr>
        <w:t>23</w:t>
      </w:r>
      <w:r w:rsidRPr="00AB2BBF">
        <w:rPr>
          <w:rFonts w:hint="eastAsia"/>
        </w:rPr>
        <w:t>條</w:t>
      </w:r>
    </w:p>
    <w:p w14:paraId="0FB604D6"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對於經查證屬於傳銷行為的，工商行政管理部門、公安機關可以向社會公開發佈警示、提示。</w:t>
      </w:r>
    </w:p>
    <w:p w14:paraId="54E446B4"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向社會公開發佈警示、提示應當經縣級以上工商行政管理部門主要負責人或者公安機關主要負責人批准。</w:t>
      </w:r>
    </w:p>
    <w:p w14:paraId="547953BC" w14:textId="2394A8E8" w:rsidR="00F37A94" w:rsidRPr="00F37A94" w:rsidRDefault="00F37A94" w:rsidP="00F37A94">
      <w:pPr>
        <w:ind w:left="142"/>
        <w:jc w:val="both"/>
        <w:rPr>
          <w:rFonts w:ascii="Arial Unicode MS" w:hAnsi="Arial Unicode MS"/>
          <w:sz w:val="20"/>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83519">
        <w:rPr>
          <w:rFonts w:ascii="Arial Unicode MS" w:hAnsi="Arial Unicode MS" w:hint="eastAsia"/>
          <w:color w:val="808000"/>
          <w:sz w:val="18"/>
        </w:rPr>
        <w:t>〉〉</w:t>
      </w:r>
    </w:p>
    <w:p w14:paraId="4D8E4629" w14:textId="77777777" w:rsidR="00F37A94" w:rsidRPr="00F37A94" w:rsidRDefault="00F37A94" w:rsidP="007D5CDA">
      <w:pPr>
        <w:pStyle w:val="1"/>
      </w:pPr>
      <w:bookmarkStart w:id="8" w:name="_第四章__法律責任"/>
      <w:bookmarkEnd w:id="8"/>
      <w:r w:rsidRPr="00F37A94">
        <w:rPr>
          <w:rFonts w:hint="eastAsia"/>
        </w:rPr>
        <w:t>第四章</w:t>
      </w:r>
      <w:r>
        <w:rPr>
          <w:rFonts w:hint="eastAsia"/>
        </w:rPr>
        <w:t xml:space="preserve">　　</w:t>
      </w:r>
      <w:r w:rsidRPr="00F37A94">
        <w:rPr>
          <w:rFonts w:hint="eastAsia"/>
        </w:rPr>
        <w:t>法律責任</w:t>
      </w:r>
    </w:p>
    <w:p w14:paraId="66267E31" w14:textId="77777777" w:rsidR="00F37A94" w:rsidRPr="00AB2BBF" w:rsidRDefault="00F37A94" w:rsidP="005702D9">
      <w:pPr>
        <w:pStyle w:val="2"/>
      </w:pPr>
      <w:bookmarkStart w:id="9" w:name="a24"/>
      <w:bookmarkEnd w:id="9"/>
      <w:r w:rsidRPr="00AB2BBF">
        <w:rPr>
          <w:rFonts w:hint="eastAsia"/>
        </w:rPr>
        <w:t>第</w:t>
      </w:r>
      <w:r w:rsidR="00A87E94">
        <w:rPr>
          <w:rFonts w:hint="eastAsia"/>
        </w:rPr>
        <w:t>24</w:t>
      </w:r>
      <w:r w:rsidRPr="00AB2BBF">
        <w:rPr>
          <w:rFonts w:hint="eastAsia"/>
        </w:rPr>
        <w:t>條</w:t>
      </w:r>
    </w:p>
    <w:p w14:paraId="6DC3FBD5"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有本條例</w:t>
      </w:r>
      <w:hyperlink w:anchor="a7" w:history="1">
        <w:r w:rsidRPr="00E5044A">
          <w:rPr>
            <w:rStyle w:val="a3"/>
            <w:rFonts w:ascii="Arial Unicode MS" w:hAnsi="Arial Unicode MS" w:hint="eastAsia"/>
          </w:rPr>
          <w:t>第七條</w:t>
        </w:r>
      </w:hyperlink>
      <w:r w:rsidRPr="00F37A94">
        <w:rPr>
          <w:rFonts w:ascii="Arial Unicode MS" w:hAnsi="Arial Unicode MS" w:hint="eastAsia"/>
          <w:sz w:val="20"/>
        </w:rPr>
        <w:t>規定的行為，組織策劃傳銷的，由工商行政管理部門沒收非法財物，沒收違法所得，處</w:t>
      </w:r>
      <w:r w:rsidRPr="00F37A94">
        <w:rPr>
          <w:rFonts w:ascii="Arial Unicode MS" w:hAnsi="Arial Unicode MS" w:hint="eastAsia"/>
          <w:sz w:val="20"/>
        </w:rPr>
        <w:t>50</w:t>
      </w:r>
      <w:r w:rsidRPr="00F37A94">
        <w:rPr>
          <w:rFonts w:ascii="Arial Unicode MS" w:hAnsi="Arial Unicode MS" w:hint="eastAsia"/>
          <w:sz w:val="20"/>
        </w:rPr>
        <w:t>萬元以上</w:t>
      </w:r>
      <w:r w:rsidRPr="00F37A94">
        <w:rPr>
          <w:rFonts w:ascii="Arial Unicode MS" w:hAnsi="Arial Unicode MS" w:hint="eastAsia"/>
          <w:sz w:val="20"/>
        </w:rPr>
        <w:t>200</w:t>
      </w:r>
      <w:r w:rsidRPr="00F37A94">
        <w:rPr>
          <w:rFonts w:ascii="Arial Unicode MS" w:hAnsi="Arial Unicode MS" w:hint="eastAsia"/>
          <w:sz w:val="20"/>
        </w:rPr>
        <w:t>萬元以下的罰款；構成犯罪的，依法追究刑事責任。</w:t>
      </w:r>
    </w:p>
    <w:p w14:paraId="12A11903"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有本條例</w:t>
      </w:r>
      <w:hyperlink w:anchor="a7" w:history="1">
        <w:r w:rsidR="00E5044A" w:rsidRPr="00E5044A">
          <w:rPr>
            <w:rStyle w:val="a3"/>
            <w:rFonts w:ascii="Arial Unicode MS" w:hAnsi="Arial Unicode MS" w:hint="eastAsia"/>
          </w:rPr>
          <w:t>第七條</w:t>
        </w:r>
      </w:hyperlink>
      <w:r w:rsidRPr="00AB2BBF">
        <w:rPr>
          <w:rFonts w:ascii="Arial Unicode MS" w:hAnsi="Arial Unicode MS" w:hint="eastAsia"/>
          <w:color w:val="17365D"/>
          <w:sz w:val="20"/>
        </w:rPr>
        <w:t>規定的行為，介紹、誘騙、脅迫他人參加傳銷的，由工商行政管理部門責令停止違法行為，沒收非法財物，沒收違法所得，處</w:t>
      </w:r>
      <w:r w:rsidRPr="00AB2BBF">
        <w:rPr>
          <w:rFonts w:ascii="Arial Unicode MS" w:hAnsi="Arial Unicode MS" w:hint="eastAsia"/>
          <w:color w:val="17365D"/>
          <w:sz w:val="20"/>
        </w:rPr>
        <w:t>10</w:t>
      </w:r>
      <w:r w:rsidRPr="00AB2BBF">
        <w:rPr>
          <w:rFonts w:ascii="Arial Unicode MS" w:hAnsi="Arial Unicode MS" w:hint="eastAsia"/>
          <w:color w:val="17365D"/>
          <w:sz w:val="20"/>
        </w:rPr>
        <w:t>萬元以上</w:t>
      </w:r>
      <w:r w:rsidRPr="00AB2BBF">
        <w:rPr>
          <w:rFonts w:ascii="Arial Unicode MS" w:hAnsi="Arial Unicode MS" w:hint="eastAsia"/>
          <w:color w:val="17365D"/>
          <w:sz w:val="20"/>
        </w:rPr>
        <w:t>50</w:t>
      </w:r>
      <w:r w:rsidRPr="00AB2BBF">
        <w:rPr>
          <w:rFonts w:ascii="Arial Unicode MS" w:hAnsi="Arial Unicode MS" w:hint="eastAsia"/>
          <w:color w:val="17365D"/>
          <w:sz w:val="20"/>
        </w:rPr>
        <w:t>萬元以下的罰款；構成犯罪的，依法追究刑事責任。</w:t>
      </w:r>
    </w:p>
    <w:p w14:paraId="49493AAB" w14:textId="77777777" w:rsidR="00F37A94" w:rsidRPr="00F37A94" w:rsidRDefault="00F37A94" w:rsidP="00F37A94">
      <w:pPr>
        <w:ind w:left="142"/>
        <w:jc w:val="both"/>
        <w:rPr>
          <w:rFonts w:ascii="Arial Unicode MS" w:hAnsi="Arial Unicode MS"/>
          <w:sz w:val="20"/>
        </w:rPr>
      </w:pPr>
      <w:r w:rsidRPr="00F37A94">
        <w:rPr>
          <w:rFonts w:ascii="Arial Unicode MS" w:hAnsi="Arial Unicode MS" w:hint="eastAsia"/>
          <w:sz w:val="20"/>
        </w:rPr>
        <w:t xml:space="preserve">　　有本條例</w:t>
      </w:r>
      <w:hyperlink w:anchor="a7" w:history="1">
        <w:r w:rsidR="00E5044A" w:rsidRPr="00E5044A">
          <w:rPr>
            <w:rStyle w:val="a3"/>
            <w:rFonts w:ascii="Arial Unicode MS" w:hAnsi="Arial Unicode MS" w:hint="eastAsia"/>
          </w:rPr>
          <w:t>第七條</w:t>
        </w:r>
      </w:hyperlink>
      <w:r w:rsidRPr="00F37A94">
        <w:rPr>
          <w:rFonts w:ascii="Arial Unicode MS" w:hAnsi="Arial Unicode MS" w:hint="eastAsia"/>
          <w:sz w:val="20"/>
        </w:rPr>
        <w:t>規定的行為，參加傳銷的，由工商行政管理部門責令停止違法行為，可以處</w:t>
      </w:r>
      <w:r w:rsidRPr="00F37A94">
        <w:rPr>
          <w:rFonts w:ascii="Arial Unicode MS" w:hAnsi="Arial Unicode MS" w:hint="eastAsia"/>
          <w:sz w:val="20"/>
        </w:rPr>
        <w:t>2000</w:t>
      </w:r>
      <w:r w:rsidRPr="00F37A94">
        <w:rPr>
          <w:rFonts w:ascii="Arial Unicode MS" w:hAnsi="Arial Unicode MS" w:hint="eastAsia"/>
          <w:sz w:val="20"/>
        </w:rPr>
        <w:t>元以下的罰款。</w:t>
      </w:r>
    </w:p>
    <w:p w14:paraId="195C7CE7" w14:textId="77777777" w:rsidR="00F37A94" w:rsidRPr="00F37A94" w:rsidRDefault="00F37A94" w:rsidP="005702D9">
      <w:pPr>
        <w:pStyle w:val="2"/>
      </w:pPr>
      <w:bookmarkStart w:id="10" w:name="a25"/>
      <w:bookmarkEnd w:id="10"/>
      <w:r w:rsidRPr="00F37A94">
        <w:rPr>
          <w:rFonts w:hint="eastAsia"/>
        </w:rPr>
        <w:t>第</w:t>
      </w:r>
      <w:r w:rsidR="00A87E94">
        <w:rPr>
          <w:rFonts w:hint="eastAsia"/>
        </w:rPr>
        <w:t>25</w:t>
      </w:r>
      <w:r w:rsidRPr="00F37A94">
        <w:rPr>
          <w:rFonts w:hint="eastAsia"/>
        </w:rPr>
        <w:t>條</w:t>
      </w:r>
    </w:p>
    <w:p w14:paraId="0C306809"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工商行政管理部門依照本條例第</w:t>
      </w:r>
      <w:hyperlink w:anchor="a24" w:history="1">
        <w:r w:rsidRPr="00E5044A">
          <w:rPr>
            <w:rStyle w:val="a3"/>
            <w:rFonts w:ascii="Arial Unicode MS" w:hAnsi="Arial Unicode MS" w:hint="eastAsia"/>
          </w:rPr>
          <w:t>二十四</w:t>
        </w:r>
      </w:hyperlink>
      <w:r w:rsidRPr="00F37A94">
        <w:rPr>
          <w:rFonts w:ascii="Arial Unicode MS" w:hAnsi="Arial Unicode MS" w:hint="eastAsia"/>
          <w:sz w:val="20"/>
        </w:rPr>
        <w:t>條的規定進行處罰時，可以依照有關法律、行政法規的規定，責令停業整頓或者吊銷營業執照。</w:t>
      </w:r>
    </w:p>
    <w:p w14:paraId="3813EB00" w14:textId="77777777" w:rsidR="00F37A94" w:rsidRPr="00F37A94" w:rsidRDefault="00F37A94" w:rsidP="005702D9">
      <w:pPr>
        <w:pStyle w:val="2"/>
      </w:pPr>
      <w:bookmarkStart w:id="11" w:name="a26"/>
      <w:bookmarkEnd w:id="11"/>
      <w:r w:rsidRPr="00F37A94">
        <w:rPr>
          <w:rFonts w:hint="eastAsia"/>
        </w:rPr>
        <w:t>第</w:t>
      </w:r>
      <w:r w:rsidR="00A87E94">
        <w:rPr>
          <w:rFonts w:hint="eastAsia"/>
        </w:rPr>
        <w:t>26</w:t>
      </w:r>
      <w:r w:rsidRPr="00F37A94">
        <w:rPr>
          <w:rFonts w:hint="eastAsia"/>
        </w:rPr>
        <w:t>條</w:t>
      </w:r>
    </w:p>
    <w:p w14:paraId="6F2B2EA5"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為本條例</w:t>
      </w:r>
      <w:hyperlink w:anchor="a7" w:history="1">
        <w:r w:rsidR="00E5044A" w:rsidRPr="00E5044A">
          <w:rPr>
            <w:rStyle w:val="a3"/>
            <w:rFonts w:ascii="Arial Unicode MS" w:hAnsi="Arial Unicode MS" w:hint="eastAsia"/>
          </w:rPr>
          <w:t>第七條</w:t>
        </w:r>
      </w:hyperlink>
      <w:r w:rsidRPr="00F37A94">
        <w:rPr>
          <w:rFonts w:ascii="Arial Unicode MS" w:hAnsi="Arial Unicode MS" w:hint="eastAsia"/>
          <w:sz w:val="20"/>
        </w:rPr>
        <w:t>規定的傳銷行為提供經營場所、培訓場所、貨源、保管、倉儲等條件的，由工商行政管理部門責令停止違法行為，沒收違法所得，處</w:t>
      </w:r>
      <w:r w:rsidRPr="00F37A94">
        <w:rPr>
          <w:rFonts w:ascii="Arial Unicode MS" w:hAnsi="Arial Unicode MS" w:hint="eastAsia"/>
          <w:sz w:val="20"/>
        </w:rPr>
        <w:t>5</w:t>
      </w:r>
      <w:r w:rsidRPr="00F37A94">
        <w:rPr>
          <w:rFonts w:ascii="Arial Unicode MS" w:hAnsi="Arial Unicode MS" w:hint="eastAsia"/>
          <w:sz w:val="20"/>
        </w:rPr>
        <w:t>萬元以上</w:t>
      </w:r>
      <w:r w:rsidRPr="00F37A94">
        <w:rPr>
          <w:rFonts w:ascii="Arial Unicode MS" w:hAnsi="Arial Unicode MS" w:hint="eastAsia"/>
          <w:sz w:val="20"/>
        </w:rPr>
        <w:t>50</w:t>
      </w:r>
      <w:r w:rsidRPr="00F37A94">
        <w:rPr>
          <w:rFonts w:ascii="Arial Unicode MS" w:hAnsi="Arial Unicode MS" w:hint="eastAsia"/>
          <w:sz w:val="20"/>
        </w:rPr>
        <w:t>萬元以下的罰款。</w:t>
      </w:r>
    </w:p>
    <w:p w14:paraId="66A9735D" w14:textId="77777777" w:rsidR="00F37A94" w:rsidRPr="00AB2BBF" w:rsidRDefault="00F37A94" w:rsidP="00F37A94">
      <w:pPr>
        <w:ind w:left="142"/>
        <w:jc w:val="both"/>
        <w:rPr>
          <w:rFonts w:ascii="Arial Unicode MS" w:hAnsi="Arial Unicode MS"/>
          <w:color w:val="17365D"/>
          <w:sz w:val="20"/>
        </w:rPr>
      </w:pPr>
      <w:r w:rsidRPr="00AB2BBF">
        <w:rPr>
          <w:rFonts w:ascii="Arial Unicode MS" w:hAnsi="Arial Unicode MS" w:hint="eastAsia"/>
          <w:color w:val="17365D"/>
          <w:sz w:val="20"/>
        </w:rPr>
        <w:t xml:space="preserve">　　為本條例</w:t>
      </w:r>
      <w:hyperlink w:anchor="a7" w:history="1">
        <w:r w:rsidR="00E5044A" w:rsidRPr="00E5044A">
          <w:rPr>
            <w:rStyle w:val="a3"/>
            <w:rFonts w:ascii="Arial Unicode MS" w:hAnsi="Arial Unicode MS" w:hint="eastAsia"/>
          </w:rPr>
          <w:t>第七條</w:t>
        </w:r>
      </w:hyperlink>
      <w:r w:rsidRPr="00AB2BBF">
        <w:rPr>
          <w:rFonts w:ascii="Arial Unicode MS" w:hAnsi="Arial Unicode MS" w:hint="eastAsia"/>
          <w:color w:val="17365D"/>
          <w:sz w:val="20"/>
        </w:rPr>
        <w:t>規定的傳銷行為提供互聯網資訊服務的，由工商行政管理部門責令停止違法行為，並通知有關部門依照《</w:t>
      </w:r>
      <w:hyperlink r:id="rId16" w:history="1">
        <w:r w:rsidRPr="00AB2BBF">
          <w:rPr>
            <w:rStyle w:val="a3"/>
            <w:rFonts w:ascii="Arial Unicode MS" w:hAnsi="Arial Unicode MS" w:hint="eastAsia"/>
          </w:rPr>
          <w:t>互聯網資訊服務管理辦法</w:t>
        </w:r>
      </w:hyperlink>
      <w:r w:rsidRPr="00AB2BBF">
        <w:rPr>
          <w:rFonts w:ascii="Arial Unicode MS" w:hAnsi="Arial Unicode MS" w:hint="eastAsia"/>
          <w:color w:val="17365D"/>
          <w:sz w:val="20"/>
        </w:rPr>
        <w:t>》予以處罰。</w:t>
      </w:r>
    </w:p>
    <w:p w14:paraId="0DBBA7B5" w14:textId="77777777" w:rsidR="00F37A94" w:rsidRPr="00F37A94" w:rsidRDefault="00F37A94" w:rsidP="005702D9">
      <w:pPr>
        <w:pStyle w:val="2"/>
      </w:pPr>
      <w:r w:rsidRPr="00F37A94">
        <w:rPr>
          <w:rFonts w:hint="eastAsia"/>
        </w:rPr>
        <w:t>第</w:t>
      </w:r>
      <w:r w:rsidR="00A87E94">
        <w:rPr>
          <w:rFonts w:hint="eastAsia"/>
        </w:rPr>
        <w:t>27</w:t>
      </w:r>
      <w:r w:rsidRPr="00F37A94">
        <w:rPr>
          <w:rFonts w:hint="eastAsia"/>
        </w:rPr>
        <w:t>條</w:t>
      </w:r>
    </w:p>
    <w:p w14:paraId="731D73F6"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當事人擅自動用、調換、轉移、損毀被查封、扣押財物的，由工商行政管理部門責令停止違法行為，處被動用、調換、轉移、損毀財物價值</w:t>
      </w:r>
      <w:r w:rsidRPr="00F37A94">
        <w:rPr>
          <w:rFonts w:ascii="Arial Unicode MS" w:hAnsi="Arial Unicode MS" w:hint="eastAsia"/>
          <w:sz w:val="20"/>
        </w:rPr>
        <w:t>5</w:t>
      </w:r>
      <w:r w:rsidRPr="00F37A94">
        <w:rPr>
          <w:rFonts w:ascii="Arial Unicode MS" w:hAnsi="Arial Unicode MS" w:hint="eastAsia"/>
          <w:sz w:val="20"/>
        </w:rPr>
        <w:t>％以上</w:t>
      </w:r>
      <w:r w:rsidRPr="00F37A94">
        <w:rPr>
          <w:rFonts w:ascii="Arial Unicode MS" w:hAnsi="Arial Unicode MS" w:hint="eastAsia"/>
          <w:sz w:val="20"/>
        </w:rPr>
        <w:t>20</w:t>
      </w:r>
      <w:r w:rsidRPr="00F37A94">
        <w:rPr>
          <w:rFonts w:ascii="Arial Unicode MS" w:hAnsi="Arial Unicode MS" w:hint="eastAsia"/>
          <w:sz w:val="20"/>
        </w:rPr>
        <w:t>％以下的罰款；拒不改正的，處被動用、調換、轉移、損毀財物價值</w:t>
      </w:r>
      <w:r w:rsidRPr="00F37A94">
        <w:rPr>
          <w:rFonts w:ascii="Arial Unicode MS" w:hAnsi="Arial Unicode MS" w:hint="eastAsia"/>
          <w:sz w:val="20"/>
        </w:rPr>
        <w:t>1</w:t>
      </w:r>
      <w:r w:rsidRPr="00F37A94">
        <w:rPr>
          <w:rFonts w:ascii="Arial Unicode MS" w:hAnsi="Arial Unicode MS" w:hint="eastAsia"/>
          <w:sz w:val="20"/>
        </w:rPr>
        <w:t>倍以上３倍以下的罰款。</w:t>
      </w:r>
    </w:p>
    <w:p w14:paraId="4BF6A0D3" w14:textId="77777777" w:rsidR="00F37A94" w:rsidRPr="00F37A94" w:rsidRDefault="00F37A94" w:rsidP="005702D9">
      <w:pPr>
        <w:pStyle w:val="2"/>
      </w:pPr>
      <w:bookmarkStart w:id="12" w:name="a28"/>
      <w:bookmarkEnd w:id="12"/>
      <w:r w:rsidRPr="00F37A94">
        <w:rPr>
          <w:rFonts w:hint="eastAsia"/>
        </w:rPr>
        <w:t>第</w:t>
      </w:r>
      <w:r w:rsidR="00A87E94">
        <w:rPr>
          <w:rFonts w:hint="eastAsia"/>
        </w:rPr>
        <w:t>28</w:t>
      </w:r>
      <w:r w:rsidRPr="00F37A94">
        <w:rPr>
          <w:rFonts w:hint="eastAsia"/>
        </w:rPr>
        <w:t>條</w:t>
      </w:r>
    </w:p>
    <w:p w14:paraId="4F848D40" w14:textId="77777777" w:rsidR="00F37A94" w:rsidRP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有本條例</w:t>
      </w:r>
      <w:hyperlink w:anchor="a10" w:history="1">
        <w:r w:rsidRPr="00E5044A">
          <w:rPr>
            <w:rStyle w:val="a3"/>
            <w:rFonts w:ascii="Arial Unicode MS" w:hAnsi="Arial Unicode MS" w:hint="eastAsia"/>
          </w:rPr>
          <w:t>第十條</w:t>
        </w:r>
      </w:hyperlink>
      <w:r w:rsidRPr="00F37A94">
        <w:rPr>
          <w:rFonts w:ascii="Arial Unicode MS" w:hAnsi="Arial Unicode MS" w:hint="eastAsia"/>
          <w:sz w:val="20"/>
        </w:rPr>
        <w:t>規定的行為或者拒絕、阻礙工商行政管理部門的執法人員依法查處傳銷行為，構成違反治安管理行為的，由公安機關依照治安管理的法律、行政法規規定處罰；構成犯罪的，依法追究刑事責任。</w:t>
      </w:r>
    </w:p>
    <w:p w14:paraId="2B2BBED9" w14:textId="77777777" w:rsidR="00F37A94" w:rsidRPr="00F37A94" w:rsidRDefault="00F37A94" w:rsidP="005702D9">
      <w:pPr>
        <w:pStyle w:val="2"/>
      </w:pPr>
      <w:r w:rsidRPr="00F37A94">
        <w:rPr>
          <w:rFonts w:hint="eastAsia"/>
        </w:rPr>
        <w:lastRenderedPageBreak/>
        <w:t>第</w:t>
      </w:r>
      <w:r w:rsidR="00A87E94">
        <w:rPr>
          <w:rFonts w:hint="eastAsia"/>
        </w:rPr>
        <w:t>29</w:t>
      </w:r>
      <w:r w:rsidRPr="00F37A94">
        <w:rPr>
          <w:rFonts w:hint="eastAsia"/>
        </w:rPr>
        <w:t>條</w:t>
      </w:r>
    </w:p>
    <w:p w14:paraId="48454234" w14:textId="77777777" w:rsidR="00F37A94"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工商行政管理部門、公安機關及其工作人員濫用職權、怠忽職守、徇私舞弊，未依照本條例規定的職責和程式查處傳銷行為，或者發現傳銷行為不予查處，或者支持、包庇、縱容傳銷行為，構成犯罪的，對直接負責的主管人員和其他直接責任人員，依法追究刑事責任；尚不構成犯罪的，依法給予行政處分。</w:t>
      </w:r>
    </w:p>
    <w:p w14:paraId="2409A7A6" w14:textId="1134B14E" w:rsidR="00F37A94" w:rsidRPr="00F37A94" w:rsidRDefault="00F37A94" w:rsidP="00F37A94">
      <w:pPr>
        <w:ind w:left="142"/>
        <w:jc w:val="both"/>
        <w:rPr>
          <w:rFonts w:ascii="Arial Unicode MS" w:hAnsi="Arial Unicode MS"/>
          <w:sz w:val="20"/>
        </w:rPr>
      </w:pPr>
      <w:r w:rsidRPr="002C7B09">
        <w:rPr>
          <w:rStyle w:val="a3"/>
          <w:rFonts w:ascii="Arial Unicode MS" w:hAnsi="Arial Unicode MS"/>
          <w:sz w:val="18"/>
          <w:u w:val="none"/>
        </w:rPr>
        <w:t xml:space="preserve">　　　　　　　　　　　　　　　　　　　　　　　　　　　　　　　　　　　　　　　　　　　　　　　　　</w:t>
      </w:r>
      <w:hyperlink w:anchor="aaa" w:history="1">
        <w:r w:rsidRPr="002C7B09">
          <w:rPr>
            <w:rStyle w:val="a3"/>
            <w:rFonts w:ascii="Arial Unicode MS" w:hAnsi="Arial Unicode MS" w:hint="eastAsia"/>
            <w:sz w:val="18"/>
          </w:rPr>
          <w:t>回索引</w:t>
        </w:r>
      </w:hyperlink>
      <w:r w:rsidR="00083519">
        <w:rPr>
          <w:rFonts w:ascii="Arial Unicode MS" w:hAnsi="Arial Unicode MS" w:hint="eastAsia"/>
          <w:color w:val="808000"/>
          <w:sz w:val="18"/>
        </w:rPr>
        <w:t>〉〉</w:t>
      </w:r>
    </w:p>
    <w:p w14:paraId="21714E38" w14:textId="77777777" w:rsidR="00F37A94" w:rsidRPr="00F37A94" w:rsidRDefault="00F37A94" w:rsidP="007D5CDA">
      <w:pPr>
        <w:pStyle w:val="1"/>
      </w:pPr>
      <w:bookmarkStart w:id="13" w:name="_第五章__附"/>
      <w:bookmarkEnd w:id="13"/>
      <w:r w:rsidRPr="00F37A94">
        <w:rPr>
          <w:rFonts w:hint="eastAsia"/>
        </w:rPr>
        <w:t>第五章</w:t>
      </w:r>
      <w:r>
        <w:rPr>
          <w:rFonts w:hint="eastAsia"/>
        </w:rPr>
        <w:t xml:space="preserve">　　</w:t>
      </w:r>
      <w:r w:rsidRPr="00F37A94">
        <w:rPr>
          <w:rFonts w:hint="eastAsia"/>
        </w:rPr>
        <w:t>附</w:t>
      </w:r>
      <w:r>
        <w:rPr>
          <w:rFonts w:hint="eastAsia"/>
        </w:rPr>
        <w:t xml:space="preserve">　</w:t>
      </w:r>
      <w:r w:rsidRPr="00F37A94">
        <w:rPr>
          <w:rFonts w:hint="eastAsia"/>
        </w:rPr>
        <w:t>則</w:t>
      </w:r>
    </w:p>
    <w:p w14:paraId="12D275B1" w14:textId="77777777" w:rsidR="00F37A94" w:rsidRPr="00F37A94" w:rsidRDefault="00F37A94" w:rsidP="005702D9">
      <w:pPr>
        <w:pStyle w:val="2"/>
      </w:pPr>
      <w:r w:rsidRPr="00F37A94">
        <w:rPr>
          <w:rFonts w:hint="eastAsia"/>
        </w:rPr>
        <w:t>第</w:t>
      </w:r>
      <w:r w:rsidR="00A87E94">
        <w:rPr>
          <w:rFonts w:hint="eastAsia"/>
        </w:rPr>
        <w:t>30</w:t>
      </w:r>
      <w:r w:rsidR="00A87E94">
        <w:rPr>
          <w:rFonts w:hint="eastAsia"/>
        </w:rPr>
        <w:t>條</w:t>
      </w:r>
    </w:p>
    <w:p w14:paraId="2EF9B562" w14:textId="77777777" w:rsidR="00EA5287" w:rsidRPr="002C7B09" w:rsidRDefault="00F37A94" w:rsidP="00F37A94">
      <w:pPr>
        <w:ind w:left="142"/>
        <w:jc w:val="both"/>
        <w:rPr>
          <w:rFonts w:ascii="Arial Unicode MS" w:hAnsi="Arial Unicode MS"/>
          <w:sz w:val="20"/>
        </w:rPr>
      </w:pPr>
      <w:r>
        <w:rPr>
          <w:rFonts w:ascii="Arial Unicode MS" w:hAnsi="Arial Unicode MS" w:hint="eastAsia"/>
          <w:sz w:val="20"/>
        </w:rPr>
        <w:t xml:space="preserve">　　</w:t>
      </w:r>
      <w:r w:rsidRPr="00F37A94">
        <w:rPr>
          <w:rFonts w:ascii="Arial Unicode MS" w:hAnsi="Arial Unicode MS" w:hint="eastAsia"/>
          <w:sz w:val="20"/>
        </w:rPr>
        <w:t>本條例自</w:t>
      </w:r>
      <w:r w:rsidRPr="00F37A94">
        <w:rPr>
          <w:rFonts w:ascii="Arial Unicode MS" w:hAnsi="Arial Unicode MS" w:hint="eastAsia"/>
          <w:sz w:val="20"/>
        </w:rPr>
        <w:t>2005</w:t>
      </w:r>
      <w:r w:rsidRPr="00F37A94">
        <w:rPr>
          <w:rFonts w:ascii="Arial Unicode MS" w:hAnsi="Arial Unicode MS" w:hint="eastAsia"/>
          <w:sz w:val="20"/>
        </w:rPr>
        <w:t>年</w:t>
      </w:r>
      <w:r w:rsidRPr="00F37A94">
        <w:rPr>
          <w:rFonts w:ascii="Arial Unicode MS" w:hAnsi="Arial Unicode MS" w:hint="eastAsia"/>
          <w:sz w:val="20"/>
        </w:rPr>
        <w:t>11</w:t>
      </w:r>
      <w:r w:rsidRPr="00F37A94">
        <w:rPr>
          <w:rFonts w:ascii="Arial Unicode MS" w:hAnsi="Arial Unicode MS" w:hint="eastAsia"/>
          <w:sz w:val="20"/>
        </w:rPr>
        <w:t>月</w:t>
      </w:r>
      <w:r w:rsidRPr="00F37A94">
        <w:rPr>
          <w:rFonts w:ascii="Arial Unicode MS" w:hAnsi="Arial Unicode MS" w:hint="eastAsia"/>
          <w:sz w:val="20"/>
        </w:rPr>
        <w:t>1</w:t>
      </w:r>
      <w:r w:rsidRPr="00F37A94">
        <w:rPr>
          <w:rFonts w:ascii="Arial Unicode MS" w:hAnsi="Arial Unicode MS" w:hint="eastAsia"/>
          <w:sz w:val="20"/>
        </w:rPr>
        <w:t>日起施行。</w:t>
      </w:r>
    </w:p>
    <w:p w14:paraId="3CB03F47" w14:textId="77777777" w:rsidR="00422423" w:rsidRPr="002C7B09" w:rsidRDefault="00422423" w:rsidP="000364E4">
      <w:pPr>
        <w:ind w:firstLineChars="100" w:firstLine="200"/>
        <w:rPr>
          <w:rFonts w:ascii="Arial Unicode MS" w:hAnsi="Arial Unicode MS"/>
          <w:b/>
          <w:color w:val="993300"/>
          <w:sz w:val="20"/>
        </w:rPr>
      </w:pPr>
    </w:p>
    <w:p w14:paraId="507855FE" w14:textId="77777777" w:rsidR="00422423" w:rsidRPr="002C7B09" w:rsidRDefault="00422423" w:rsidP="000364E4">
      <w:pPr>
        <w:ind w:firstLineChars="100" w:firstLine="200"/>
        <w:rPr>
          <w:rFonts w:ascii="Arial Unicode MS" w:hAnsi="Arial Unicode MS"/>
          <w:b/>
          <w:color w:val="993300"/>
          <w:sz w:val="20"/>
        </w:rPr>
      </w:pPr>
    </w:p>
    <w:p w14:paraId="4CC24059" w14:textId="77777777" w:rsidR="003F1818" w:rsidRPr="00C1655B" w:rsidRDefault="003F1818" w:rsidP="003F1818">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B7F4997" w14:textId="0D9406C9" w:rsidR="00DB4ABA" w:rsidRPr="003F1818" w:rsidRDefault="003F1818" w:rsidP="003F1818">
      <w:pPr>
        <w:jc w:val="both"/>
        <w:rPr>
          <w:rFonts w:ascii="Arial Unicode MS" w:hAnsi="Arial Unicode MS"/>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7" w:history="1">
        <w:r w:rsidRPr="00327226">
          <w:rPr>
            <w:rStyle w:val="a3"/>
            <w:rFonts w:ascii="Arial Unicode MS" w:hAnsi="Arial Unicode MS"/>
            <w:sz w:val="18"/>
            <w:szCs w:val="20"/>
          </w:rPr>
          <w:t>告知</w:t>
        </w:r>
      </w:hyperlink>
      <w:r w:rsidRPr="003D460F">
        <w:rPr>
          <w:rFonts w:hint="eastAsia"/>
          <w:color w:val="5F5F5F"/>
          <w:sz w:val="18"/>
          <w:szCs w:val="20"/>
        </w:rPr>
        <w:t>，謝謝！</w:t>
      </w:r>
    </w:p>
    <w:sectPr w:rsidR="00DB4ABA" w:rsidRPr="003F1818">
      <w:footerReference w:type="even" r:id="rId18"/>
      <w:footerReference w:type="default" r:id="rId19"/>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9CC3" w14:textId="77777777" w:rsidR="00610C57" w:rsidRDefault="00610C57">
      <w:r>
        <w:separator/>
      </w:r>
    </w:p>
  </w:endnote>
  <w:endnote w:type="continuationSeparator" w:id="0">
    <w:p w14:paraId="57983BB2" w14:textId="77777777" w:rsidR="00610C57" w:rsidRDefault="0061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DE018" w14:textId="77777777" w:rsidR="007D7AF8" w:rsidRDefault="007D7A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FAC512" w14:textId="77777777" w:rsidR="007D7AF8" w:rsidRDefault="007D7AF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FDD4" w14:textId="77777777" w:rsidR="007D7AF8" w:rsidRDefault="007D7AF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057B9">
      <w:rPr>
        <w:rStyle w:val="a7"/>
        <w:noProof/>
      </w:rPr>
      <w:t>5</w:t>
    </w:r>
    <w:r>
      <w:rPr>
        <w:rStyle w:val="a7"/>
      </w:rPr>
      <w:fldChar w:fldCharType="end"/>
    </w:r>
  </w:p>
  <w:p w14:paraId="13C7ABE6" w14:textId="66A78D3D" w:rsidR="007D7AF8" w:rsidRDefault="00083519" w:rsidP="009C7DF2">
    <w:pPr>
      <w:pStyle w:val="a6"/>
      <w:ind w:right="360"/>
      <w:jc w:val="right"/>
    </w:pPr>
    <w:r>
      <w:rPr>
        <w:rFonts w:ascii="Arial Unicode MS" w:hAnsi="Arial Unicode MS" w:hint="eastAsia"/>
        <w:color w:val="000000"/>
        <w:sz w:val="18"/>
      </w:rPr>
      <w:t>〈〈</w:t>
    </w:r>
    <w:r w:rsidR="007D7AF8" w:rsidRPr="00F37A94">
      <w:rPr>
        <w:rFonts w:ascii="Arial Unicode MS" w:hAnsi="Arial Unicode MS" w:hint="eastAsia"/>
        <w:color w:val="000000"/>
        <w:sz w:val="18"/>
      </w:rPr>
      <w:t>禁止傳銷條例</w:t>
    </w:r>
    <w:r>
      <w:rPr>
        <w:rFonts w:ascii="Arial Unicode MS" w:hAnsi="Arial Unicode MS" w:hint="eastAsia"/>
        <w:color w:val="000000"/>
        <w:sz w:val="18"/>
      </w:rPr>
      <w:t>〉〉</w:t>
    </w:r>
    <w:r w:rsidR="007D7AF8" w:rsidRPr="00FF4579">
      <w:rPr>
        <w:rFonts w:ascii="Arial Unicode MS" w:hAnsi="Arial Unicode MS" w:hint="eastAsia"/>
        <w:color w:val="000000"/>
        <w:sz w:val="18"/>
      </w:rPr>
      <w:t xml:space="preserve"> </w:t>
    </w:r>
    <w:r w:rsidR="007D7AF8" w:rsidRPr="00FF4579">
      <w:rPr>
        <w:rFonts w:ascii="Arial Unicode MS" w:hAnsi="Arial Unicode MS"/>
        <w:sz w:val="18"/>
      </w:rPr>
      <w:t>S</w:t>
    </w:r>
    <w:r w:rsidR="007D7AF8" w:rsidRPr="00FF4579">
      <w:rPr>
        <w:rFonts w:ascii="Arial Unicode MS" w:hAnsi="Arial Unicode MS" w:hint="eastAsia"/>
        <w:sz w:val="18"/>
      </w:rPr>
      <w:t xml:space="preserve">-link </w:t>
    </w:r>
    <w:r w:rsidR="007D7AF8" w:rsidRPr="00FF4579">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85E86" w14:textId="77777777" w:rsidR="00610C57" w:rsidRDefault="00610C57">
      <w:r>
        <w:separator/>
      </w:r>
    </w:p>
  </w:footnote>
  <w:footnote w:type="continuationSeparator" w:id="0">
    <w:p w14:paraId="014C0B2E" w14:textId="77777777" w:rsidR="00610C57" w:rsidRDefault="00610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1F19"/>
    <w:rsid w:val="0002689F"/>
    <w:rsid w:val="000364E4"/>
    <w:rsid w:val="000757DB"/>
    <w:rsid w:val="00083519"/>
    <w:rsid w:val="000A22A0"/>
    <w:rsid w:val="000E72AF"/>
    <w:rsid w:val="00124490"/>
    <w:rsid w:val="00187906"/>
    <w:rsid w:val="001D3916"/>
    <w:rsid w:val="001D5B6D"/>
    <w:rsid w:val="001E1466"/>
    <w:rsid w:val="001E698B"/>
    <w:rsid w:val="001F37E9"/>
    <w:rsid w:val="001F4F28"/>
    <w:rsid w:val="00205A43"/>
    <w:rsid w:val="00216232"/>
    <w:rsid w:val="0024502A"/>
    <w:rsid w:val="00246691"/>
    <w:rsid w:val="002A00C9"/>
    <w:rsid w:val="002B53B0"/>
    <w:rsid w:val="002C58EE"/>
    <w:rsid w:val="002C7B09"/>
    <w:rsid w:val="00357771"/>
    <w:rsid w:val="00367403"/>
    <w:rsid w:val="003A098F"/>
    <w:rsid w:val="003B6FD9"/>
    <w:rsid w:val="003F1818"/>
    <w:rsid w:val="00400024"/>
    <w:rsid w:val="00422423"/>
    <w:rsid w:val="00425BD2"/>
    <w:rsid w:val="00434129"/>
    <w:rsid w:val="004438D6"/>
    <w:rsid w:val="004B565F"/>
    <w:rsid w:val="00507C3E"/>
    <w:rsid w:val="00520589"/>
    <w:rsid w:val="005362B2"/>
    <w:rsid w:val="00547303"/>
    <w:rsid w:val="00564924"/>
    <w:rsid w:val="005702D9"/>
    <w:rsid w:val="00593D8B"/>
    <w:rsid w:val="00593E98"/>
    <w:rsid w:val="005C34B4"/>
    <w:rsid w:val="005F56C8"/>
    <w:rsid w:val="005F711F"/>
    <w:rsid w:val="00610C57"/>
    <w:rsid w:val="006327FE"/>
    <w:rsid w:val="00644D23"/>
    <w:rsid w:val="00657CE6"/>
    <w:rsid w:val="00662D33"/>
    <w:rsid w:val="00671D16"/>
    <w:rsid w:val="006815F6"/>
    <w:rsid w:val="006B11E3"/>
    <w:rsid w:val="006D6118"/>
    <w:rsid w:val="006F39F6"/>
    <w:rsid w:val="006F4F17"/>
    <w:rsid w:val="00703C53"/>
    <w:rsid w:val="007D5CDA"/>
    <w:rsid w:val="007D7AF8"/>
    <w:rsid w:val="00806F82"/>
    <w:rsid w:val="00826B78"/>
    <w:rsid w:val="00861746"/>
    <w:rsid w:val="00870E1E"/>
    <w:rsid w:val="0087646F"/>
    <w:rsid w:val="008C2F57"/>
    <w:rsid w:val="008E4075"/>
    <w:rsid w:val="008F5B52"/>
    <w:rsid w:val="008F62BC"/>
    <w:rsid w:val="009268EF"/>
    <w:rsid w:val="0094452D"/>
    <w:rsid w:val="00952086"/>
    <w:rsid w:val="00970E58"/>
    <w:rsid w:val="00984DE9"/>
    <w:rsid w:val="009B3480"/>
    <w:rsid w:val="009C7DF2"/>
    <w:rsid w:val="009D0211"/>
    <w:rsid w:val="009F6333"/>
    <w:rsid w:val="00A0153F"/>
    <w:rsid w:val="00A54ED0"/>
    <w:rsid w:val="00A8721A"/>
    <w:rsid w:val="00A87E94"/>
    <w:rsid w:val="00AB2BBF"/>
    <w:rsid w:val="00AE3765"/>
    <w:rsid w:val="00AF2C2D"/>
    <w:rsid w:val="00B26BB2"/>
    <w:rsid w:val="00B340AD"/>
    <w:rsid w:val="00B53C8C"/>
    <w:rsid w:val="00B67257"/>
    <w:rsid w:val="00B86C53"/>
    <w:rsid w:val="00BC16C5"/>
    <w:rsid w:val="00BF45AF"/>
    <w:rsid w:val="00C057B9"/>
    <w:rsid w:val="00C17CC6"/>
    <w:rsid w:val="00C55973"/>
    <w:rsid w:val="00C65F2E"/>
    <w:rsid w:val="00CC371D"/>
    <w:rsid w:val="00CD0FA6"/>
    <w:rsid w:val="00CD3C3B"/>
    <w:rsid w:val="00CF444E"/>
    <w:rsid w:val="00D10FE6"/>
    <w:rsid w:val="00D46AE7"/>
    <w:rsid w:val="00D51F19"/>
    <w:rsid w:val="00D70BFB"/>
    <w:rsid w:val="00D759C3"/>
    <w:rsid w:val="00D93244"/>
    <w:rsid w:val="00DA2BE3"/>
    <w:rsid w:val="00DB4ABA"/>
    <w:rsid w:val="00DF4ADE"/>
    <w:rsid w:val="00E046DF"/>
    <w:rsid w:val="00E5044A"/>
    <w:rsid w:val="00E52397"/>
    <w:rsid w:val="00E67B0E"/>
    <w:rsid w:val="00E70715"/>
    <w:rsid w:val="00E730E0"/>
    <w:rsid w:val="00E95805"/>
    <w:rsid w:val="00EA5287"/>
    <w:rsid w:val="00EA7D2E"/>
    <w:rsid w:val="00EB0240"/>
    <w:rsid w:val="00EB2515"/>
    <w:rsid w:val="00EC1757"/>
    <w:rsid w:val="00EC27F7"/>
    <w:rsid w:val="00EE53DC"/>
    <w:rsid w:val="00EF0DE8"/>
    <w:rsid w:val="00EF7EB2"/>
    <w:rsid w:val="00F11C83"/>
    <w:rsid w:val="00F229F5"/>
    <w:rsid w:val="00F2371C"/>
    <w:rsid w:val="00F26DC0"/>
    <w:rsid w:val="00F3074E"/>
    <w:rsid w:val="00F37A94"/>
    <w:rsid w:val="00F52291"/>
    <w:rsid w:val="00F74152"/>
    <w:rsid w:val="00FE1B5B"/>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DBDB8"/>
  <w15:docId w15:val="{9F828C20-257F-4874-90B5-F5D909C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rsid w:val="007D5CDA"/>
    <w:pPr>
      <w:keepNext/>
      <w:adjustRightInd w:val="0"/>
      <w:snapToGrid w:val="0"/>
      <w:spacing w:before="100" w:beforeAutospacing="1" w:after="100" w:afterAutospacing="1"/>
      <w:outlineLvl w:val="0"/>
    </w:pPr>
    <w:rPr>
      <w:rFonts w:ascii="Arial Unicode MS" w:hAnsi="Arial Unicode MS" w:cs="Arial Unicode MS"/>
      <w:b/>
      <w:bCs/>
      <w:color w:val="333399"/>
      <w:sz w:val="20"/>
      <w:szCs w:val="52"/>
    </w:rPr>
  </w:style>
  <w:style w:type="paragraph" w:styleId="2">
    <w:name w:val="heading 2"/>
    <w:basedOn w:val="a"/>
    <w:next w:val="a"/>
    <w:link w:val="20"/>
    <w:unhideWhenUsed/>
    <w:qFormat/>
    <w:rsid w:val="007D5CDA"/>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character" w:customStyle="1" w:styleId="20">
    <w:name w:val="標題 2 字元"/>
    <w:link w:val="2"/>
    <w:rsid w:val="007D5CDA"/>
    <w:rPr>
      <w:rFonts w:ascii="Arial Unicode MS" w:hAnsi="Arial Unicode MS" w:cs="Arial Unicode MS"/>
      <w:b/>
      <w:bCs/>
      <w:color w:val="990000"/>
      <w:kern w:val="2"/>
      <w:szCs w:val="48"/>
    </w:rPr>
  </w:style>
  <w:style w:type="paragraph" w:styleId="a8">
    <w:name w:val="Document Map"/>
    <w:basedOn w:val="a"/>
    <w:link w:val="a9"/>
    <w:rsid w:val="005702D9"/>
    <w:rPr>
      <w:rFonts w:ascii="新細明體" w:hAnsi="新細明體"/>
      <w:sz w:val="20"/>
      <w:szCs w:val="18"/>
    </w:rPr>
  </w:style>
  <w:style w:type="character" w:customStyle="1" w:styleId="a9">
    <w:name w:val="文件引導模式 字元"/>
    <w:link w:val="a8"/>
    <w:rsid w:val="005702D9"/>
    <w:rPr>
      <w:rFonts w:ascii="新細明體" w:hAnsi="新細明體"/>
      <w:kern w:val="2"/>
      <w:szCs w:val="18"/>
    </w:rPr>
  </w:style>
  <w:style w:type="character" w:styleId="aa">
    <w:name w:val="Unresolved Mention"/>
    <w:uiPriority w:val="99"/>
    <w:semiHidden/>
    <w:unhideWhenUsed/>
    <w:rsid w:val="00083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38651;&#23376;&#20845;&#27861;&#32317;&#32034;&#24341;.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6law/law-gb/&#31105;&#27490;&#20659;&#37559;&#26781;&#20363;.htm" TargetMode="External"/><Relationship Id="rId17"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law-gb/&#20114;&#32879;&#32178;&#36039;&#35338;&#26381;&#21209;&#31649;&#29702;&#36774;&#27861;.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5" Type="http://schemas.openxmlformats.org/officeDocument/2006/relationships/footnotes" Target="footnotes.xml"/><Relationship Id="rId15" Type="http://schemas.openxmlformats.org/officeDocument/2006/relationships/hyperlink" Target="https://www.6laws.net/6law/law-gb/&#31105;&#27490;&#20659;&#37559;&#26781;&#20363;.htm" TargetMode="External"/><Relationship Id="rId10" Type="http://schemas.openxmlformats.org/officeDocument/2006/relationships/hyperlink" Target="http://www.pkulaw.cn/fulltext_form.aspx?Db=chl&amp;Gid=5986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2823;&#38520;&#27861;&#35215;&#32034;&#2434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Links>
    <vt:vector size="180" baseType="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6357089</vt:i4>
      </vt:variant>
      <vt:variant>
        <vt:i4>81</vt:i4>
      </vt:variant>
      <vt:variant>
        <vt:i4>0</vt:i4>
      </vt:variant>
      <vt:variant>
        <vt:i4>5</vt:i4>
      </vt:variant>
      <vt:variant>
        <vt:lpwstr/>
      </vt:variant>
      <vt:variant>
        <vt:lpwstr>aaa</vt:lpwstr>
      </vt:variant>
      <vt:variant>
        <vt:i4>3211361</vt:i4>
      </vt:variant>
      <vt:variant>
        <vt:i4>78</vt:i4>
      </vt:variant>
      <vt:variant>
        <vt:i4>0</vt:i4>
      </vt:variant>
      <vt:variant>
        <vt:i4>5</vt:i4>
      </vt:variant>
      <vt:variant>
        <vt:lpwstr/>
      </vt:variant>
      <vt:variant>
        <vt:lpwstr>a10</vt:lpwstr>
      </vt:variant>
      <vt:variant>
        <vt:i4>-1612451004</vt:i4>
      </vt:variant>
      <vt:variant>
        <vt:i4>75</vt:i4>
      </vt:variant>
      <vt:variant>
        <vt:i4>0</vt:i4>
      </vt:variant>
      <vt:variant>
        <vt:i4>5</vt:i4>
      </vt:variant>
      <vt:variant>
        <vt:lpwstr>互聯網資訊服務管理辦法.doc</vt:lpwstr>
      </vt:variant>
      <vt:variant>
        <vt:lpwstr/>
      </vt:variant>
      <vt:variant>
        <vt:i4>3604577</vt:i4>
      </vt:variant>
      <vt:variant>
        <vt:i4>72</vt:i4>
      </vt:variant>
      <vt:variant>
        <vt:i4>0</vt:i4>
      </vt:variant>
      <vt:variant>
        <vt:i4>5</vt:i4>
      </vt:variant>
      <vt:variant>
        <vt:lpwstr/>
      </vt:variant>
      <vt:variant>
        <vt:lpwstr>a7</vt:lpwstr>
      </vt:variant>
      <vt:variant>
        <vt:i4>3604577</vt:i4>
      </vt:variant>
      <vt:variant>
        <vt:i4>69</vt:i4>
      </vt:variant>
      <vt:variant>
        <vt:i4>0</vt:i4>
      </vt:variant>
      <vt:variant>
        <vt:i4>5</vt:i4>
      </vt:variant>
      <vt:variant>
        <vt:lpwstr/>
      </vt:variant>
      <vt:variant>
        <vt:lpwstr>a7</vt:lpwstr>
      </vt:variant>
      <vt:variant>
        <vt:i4>3276897</vt:i4>
      </vt:variant>
      <vt:variant>
        <vt:i4>66</vt:i4>
      </vt:variant>
      <vt:variant>
        <vt:i4>0</vt:i4>
      </vt:variant>
      <vt:variant>
        <vt:i4>5</vt:i4>
      </vt:variant>
      <vt:variant>
        <vt:lpwstr/>
      </vt:variant>
      <vt:variant>
        <vt:lpwstr>a24</vt:lpwstr>
      </vt:variant>
      <vt:variant>
        <vt:i4>3604577</vt:i4>
      </vt:variant>
      <vt:variant>
        <vt:i4>63</vt:i4>
      </vt:variant>
      <vt:variant>
        <vt:i4>0</vt:i4>
      </vt:variant>
      <vt:variant>
        <vt:i4>5</vt:i4>
      </vt:variant>
      <vt:variant>
        <vt:lpwstr/>
      </vt:variant>
      <vt:variant>
        <vt:lpwstr>a7</vt:lpwstr>
      </vt:variant>
      <vt:variant>
        <vt:i4>3604577</vt:i4>
      </vt:variant>
      <vt:variant>
        <vt:i4>60</vt:i4>
      </vt:variant>
      <vt:variant>
        <vt:i4>0</vt:i4>
      </vt:variant>
      <vt:variant>
        <vt:i4>5</vt:i4>
      </vt:variant>
      <vt:variant>
        <vt:lpwstr/>
      </vt:variant>
      <vt:variant>
        <vt:lpwstr>a7</vt:lpwstr>
      </vt:variant>
      <vt:variant>
        <vt:i4>3604577</vt:i4>
      </vt:variant>
      <vt:variant>
        <vt:i4>57</vt:i4>
      </vt:variant>
      <vt:variant>
        <vt:i4>0</vt:i4>
      </vt:variant>
      <vt:variant>
        <vt:i4>5</vt:i4>
      </vt:variant>
      <vt:variant>
        <vt:lpwstr/>
      </vt:variant>
      <vt:variant>
        <vt:lpwstr>a7</vt:lpwstr>
      </vt:variant>
      <vt:variant>
        <vt:i4>6357089</vt:i4>
      </vt:variant>
      <vt:variant>
        <vt:i4>54</vt:i4>
      </vt:variant>
      <vt:variant>
        <vt:i4>0</vt:i4>
      </vt:variant>
      <vt:variant>
        <vt:i4>5</vt:i4>
      </vt:variant>
      <vt:variant>
        <vt:lpwstr/>
      </vt:variant>
      <vt:variant>
        <vt:lpwstr>aaa</vt:lpwstr>
      </vt:variant>
      <vt:variant>
        <vt:i4>6357089</vt:i4>
      </vt:variant>
      <vt:variant>
        <vt:i4>51</vt:i4>
      </vt:variant>
      <vt:variant>
        <vt:i4>0</vt:i4>
      </vt:variant>
      <vt:variant>
        <vt:i4>5</vt:i4>
      </vt:variant>
      <vt:variant>
        <vt:lpwstr/>
      </vt:variant>
      <vt:variant>
        <vt:lpwstr>aaa</vt:lpwstr>
      </vt:variant>
      <vt:variant>
        <vt:i4>3276897</vt:i4>
      </vt:variant>
      <vt:variant>
        <vt:i4>48</vt:i4>
      </vt:variant>
      <vt:variant>
        <vt:i4>0</vt:i4>
      </vt:variant>
      <vt:variant>
        <vt:i4>5</vt:i4>
      </vt:variant>
      <vt:variant>
        <vt:lpwstr/>
      </vt:variant>
      <vt:variant>
        <vt:lpwstr>a28</vt:lpwstr>
      </vt:variant>
      <vt:variant>
        <vt:i4>3604577</vt:i4>
      </vt:variant>
      <vt:variant>
        <vt:i4>45</vt:i4>
      </vt:variant>
      <vt:variant>
        <vt:i4>0</vt:i4>
      </vt:variant>
      <vt:variant>
        <vt:i4>5</vt:i4>
      </vt:variant>
      <vt:variant>
        <vt:lpwstr/>
      </vt:variant>
      <vt:variant>
        <vt:lpwstr>a7</vt:lpwstr>
      </vt:variant>
      <vt:variant>
        <vt:i4>3604577</vt:i4>
      </vt:variant>
      <vt:variant>
        <vt:i4>42</vt:i4>
      </vt:variant>
      <vt:variant>
        <vt:i4>0</vt:i4>
      </vt:variant>
      <vt:variant>
        <vt:i4>5</vt:i4>
      </vt:variant>
      <vt:variant>
        <vt:lpwstr/>
      </vt:variant>
      <vt:variant>
        <vt:lpwstr>a7</vt:lpwstr>
      </vt:variant>
      <vt:variant>
        <vt:i4>3276897</vt:i4>
      </vt:variant>
      <vt:variant>
        <vt:i4>39</vt:i4>
      </vt:variant>
      <vt:variant>
        <vt:i4>0</vt:i4>
      </vt:variant>
      <vt:variant>
        <vt:i4>5</vt:i4>
      </vt:variant>
      <vt:variant>
        <vt:lpwstr/>
      </vt:variant>
      <vt:variant>
        <vt:lpwstr>a26</vt:lpwstr>
      </vt:variant>
      <vt:variant>
        <vt:i4>3276897</vt:i4>
      </vt:variant>
      <vt:variant>
        <vt:i4>36</vt:i4>
      </vt:variant>
      <vt:variant>
        <vt:i4>0</vt:i4>
      </vt:variant>
      <vt:variant>
        <vt:i4>5</vt:i4>
      </vt:variant>
      <vt:variant>
        <vt:lpwstr/>
      </vt:variant>
      <vt:variant>
        <vt:lpwstr>a24</vt:lpwstr>
      </vt:variant>
      <vt:variant>
        <vt:i4>6357089</vt:i4>
      </vt:variant>
      <vt:variant>
        <vt:i4>33</vt:i4>
      </vt:variant>
      <vt:variant>
        <vt:i4>0</vt:i4>
      </vt:variant>
      <vt:variant>
        <vt:i4>5</vt:i4>
      </vt:variant>
      <vt:variant>
        <vt:lpwstr/>
      </vt:variant>
      <vt:variant>
        <vt:lpwstr>aaa</vt:lpwstr>
      </vt:variant>
      <vt:variant>
        <vt:i4>26431124</vt:i4>
      </vt:variant>
      <vt:variant>
        <vt:i4>30</vt:i4>
      </vt:variant>
      <vt:variant>
        <vt:i4>0</vt:i4>
      </vt:variant>
      <vt:variant>
        <vt:i4>5</vt:i4>
      </vt:variant>
      <vt:variant>
        <vt:lpwstr/>
      </vt:variant>
      <vt:variant>
        <vt:lpwstr>_第五章__附</vt:lpwstr>
      </vt:variant>
      <vt:variant>
        <vt:i4>283358882</vt:i4>
      </vt:variant>
      <vt:variant>
        <vt:i4>27</vt:i4>
      </vt:variant>
      <vt:variant>
        <vt:i4>0</vt:i4>
      </vt:variant>
      <vt:variant>
        <vt:i4>5</vt:i4>
      </vt:variant>
      <vt:variant>
        <vt:lpwstr/>
      </vt:variant>
      <vt:variant>
        <vt:lpwstr>_第四章__法律責任</vt:lpwstr>
      </vt:variant>
      <vt:variant>
        <vt:i4>-1737482550</vt:i4>
      </vt:variant>
      <vt:variant>
        <vt:i4>24</vt:i4>
      </vt:variant>
      <vt:variant>
        <vt:i4>0</vt:i4>
      </vt:variant>
      <vt:variant>
        <vt:i4>5</vt:i4>
      </vt:variant>
      <vt:variant>
        <vt:lpwstr/>
      </vt:variant>
      <vt:variant>
        <vt:lpwstr>_第三章__查處措施和程式</vt:lpwstr>
      </vt:variant>
      <vt:variant>
        <vt:i4>978572029</vt:i4>
      </vt:variant>
      <vt:variant>
        <vt:i4>21</vt:i4>
      </vt:variant>
      <vt:variant>
        <vt:i4>0</vt:i4>
      </vt:variant>
      <vt:variant>
        <vt:i4>5</vt:i4>
      </vt:variant>
      <vt:variant>
        <vt:lpwstr/>
      </vt:variant>
      <vt:variant>
        <vt:lpwstr>_第二章_傳銷行為的種類與查處機關</vt:lpwstr>
      </vt:variant>
      <vt:variant>
        <vt:i4>1406414909</vt:i4>
      </vt:variant>
      <vt:variant>
        <vt:i4>18</vt:i4>
      </vt:variant>
      <vt:variant>
        <vt:i4>0</vt:i4>
      </vt:variant>
      <vt:variant>
        <vt:i4>5</vt:i4>
      </vt:variant>
      <vt:variant>
        <vt:lpwstr/>
      </vt:variant>
      <vt:variant>
        <vt:lpwstr>_第一章__總則</vt:lpwstr>
      </vt:variant>
      <vt:variant>
        <vt:i4>1103935089</vt:i4>
      </vt:variant>
      <vt:variant>
        <vt:i4>15</vt:i4>
      </vt:variant>
      <vt:variant>
        <vt:i4>0</vt:i4>
      </vt:variant>
      <vt:variant>
        <vt:i4>5</vt:i4>
      </vt:variant>
      <vt:variant>
        <vt:lpwstr>http://www.6law.idv.tw/6law/law-gb/禁止傳銷條例.htm</vt:lpwstr>
      </vt:variant>
      <vt:variant>
        <vt:lpwstr/>
      </vt:variant>
      <vt:variant>
        <vt:i4>-24116985</vt:i4>
      </vt:variant>
      <vt:variant>
        <vt:i4>12</vt:i4>
      </vt:variant>
      <vt:variant>
        <vt:i4>0</vt:i4>
      </vt:variant>
      <vt:variant>
        <vt:i4>5</vt:i4>
      </vt:variant>
      <vt:variant>
        <vt:lpwstr>../S-link大陸法規索引.doc</vt:lpwstr>
      </vt:variant>
      <vt:variant>
        <vt:lpwstr>禁止傳銷條例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禁止傳銷條例</dc:title>
  <dc:subject/>
  <dc:creator>S-link 電子六法-黃婉玲</dc:creator>
  <cp:keywords/>
  <cp:lastModifiedBy>黃婉玲 S-link電子六法</cp:lastModifiedBy>
  <cp:revision>11</cp:revision>
  <dcterms:created xsi:type="dcterms:W3CDTF">2014-11-28T01:12:00Z</dcterms:created>
  <dcterms:modified xsi:type="dcterms:W3CDTF">2022-03-19T16:53:00Z</dcterms:modified>
</cp:coreProperties>
</file>