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D0E8E" w14:textId="5C030EC7" w:rsidR="00AB02D1" w:rsidRDefault="00344CF6" w:rsidP="005D7873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Arial Unicode MS" w:hAnsi="Arial Unicode MS"/>
          <w:noProof/>
        </w:rPr>
        <w:drawing>
          <wp:inline distT="0" distB="0" distL="0" distR="0" wp14:anchorId="190924D8" wp14:editId="6F759F78">
            <wp:extent cx="419343" cy="419343"/>
            <wp:effectExtent l="0" t="0" r="0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3" cy="41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42897" w14:textId="323E5575" w:rsidR="00AB02D1" w:rsidRDefault="00AB02D1" w:rsidP="005D7873">
      <w:pPr>
        <w:tabs>
          <w:tab w:val="left" w:pos="9498"/>
        </w:tabs>
        <w:adjustRightInd w:val="0"/>
        <w:snapToGrid w:val="0"/>
        <w:ind w:left="4313" w:rightChars="8" w:right="16" w:hangingChars="2396" w:hanging="4313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C60626">
          <w:rPr>
            <w:rStyle w:val="a3"/>
            <w:color w:val="5F5F5F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344CF6">
        <w:rPr>
          <w:rFonts w:ascii="Arial Unicode MS" w:hAnsi="Arial Unicode MS"/>
          <w:color w:val="5F5F5F"/>
          <w:sz w:val="18"/>
          <w:szCs w:val="20"/>
        </w:rPr>
        <w:t>2019/10/11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14:paraId="42C5FBE0" w14:textId="20418CA1" w:rsidR="00AB02D1" w:rsidRDefault="00172209" w:rsidP="00AB02D1">
      <w:pPr>
        <w:adjustRightInd w:val="0"/>
        <w:snapToGrid w:val="0"/>
        <w:jc w:val="right"/>
        <w:rPr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344CF6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344CF6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p w14:paraId="405CA41B" w14:textId="6A1CB42A" w:rsidR="00201E46" w:rsidRDefault="00C418AE" w:rsidP="00D44AB2">
      <w:pPr>
        <w:jc w:val="right"/>
        <w:rPr>
          <w:rFonts w:ascii="Arial Unicode MS" w:hAnsi="Arial Unicode MS"/>
          <w:b/>
          <w:color w:val="5F5F5F"/>
          <w:sz w:val="18"/>
        </w:rPr>
      </w:pPr>
      <w:hyperlink r:id="rId10" w:history="1"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S-</w:t>
        </w:r>
        <w:bookmarkStart w:id="1" w:name="_GoBack"/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link</w:t>
        </w:r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總</w:t>
        </w:r>
        <w:bookmarkEnd w:id="1"/>
        <w:r w:rsidR="00D44AB2">
          <w:rPr>
            <w:rFonts w:ascii="Arial Unicode MS" w:hAnsi="Arial Unicode MS" w:hint="eastAsia"/>
            <w:color w:val="808000"/>
            <w:sz w:val="18"/>
            <w:szCs w:val="20"/>
            <w:u w:val="single"/>
          </w:rPr>
          <w:t>索引</w:t>
        </w:r>
      </w:hyperlink>
      <w:r w:rsidR="00344CF6">
        <w:rPr>
          <w:rFonts w:ascii="Arial Unicode MS" w:hAnsi="Arial Unicode MS" w:hint="eastAsia"/>
          <w:b/>
          <w:color w:val="808000"/>
          <w:sz w:val="18"/>
          <w:szCs w:val="20"/>
        </w:rPr>
        <w:t>〉〉</w:t>
      </w:r>
      <w:hyperlink r:id="rId11" w:anchor="全國人民代表大會常務委員會關於修改〈中華人民共和國外資企業法〉等四部法律的決定" w:history="1">
        <w:r w:rsidR="00D44AB2" w:rsidRPr="00B309AA">
          <w:rPr>
            <w:rStyle w:val="a3"/>
            <w:rFonts w:ascii="Arial Unicode MS" w:hAnsi="Arial Unicode MS" w:hint="eastAsia"/>
            <w:sz w:val="18"/>
          </w:rPr>
          <w:t>S-link</w:t>
        </w:r>
        <w:r w:rsidR="00D44AB2" w:rsidRPr="00B309AA">
          <w:rPr>
            <w:rStyle w:val="a3"/>
            <w:rFonts w:ascii="Arial Unicode MS" w:hAnsi="Arial Unicode MS" w:hint="eastAsia"/>
            <w:sz w:val="18"/>
          </w:rPr>
          <w:t>大陸法規索引</w:t>
        </w:r>
      </w:hyperlink>
      <w:r w:rsidR="00344CF6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2" w:tgtFrame="_blank" w:history="1">
        <w:r w:rsidR="00D44AB2" w:rsidRPr="007E576E">
          <w:rPr>
            <w:rStyle w:val="a3"/>
            <w:rFonts w:hint="eastAsia"/>
            <w:sz w:val="18"/>
          </w:rPr>
          <w:t>線上網頁版</w:t>
        </w:r>
      </w:hyperlink>
      <w:r w:rsidR="00344CF6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3D107095" w14:textId="77777777" w:rsidR="00247AC3" w:rsidRPr="00E9022C" w:rsidRDefault="00247AC3" w:rsidP="00D44AB2">
      <w:pPr>
        <w:jc w:val="right"/>
        <w:rPr>
          <w:rFonts w:ascii="Arial Unicode MS" w:hAnsi="Arial Unicode MS"/>
          <w:color w:val="000000"/>
          <w:u w:val="single"/>
        </w:rPr>
      </w:pPr>
    </w:p>
    <w:p w14:paraId="3ABBD6A0" w14:textId="77777777" w:rsidR="00172209" w:rsidRPr="00E9022C" w:rsidRDefault="00201E46" w:rsidP="00247AC3">
      <w:pPr>
        <w:tabs>
          <w:tab w:val="num" w:pos="960"/>
        </w:tabs>
        <w:snapToGrid w:val="0"/>
        <w:spacing w:afterLines="50" w:after="180"/>
        <w:ind w:left="198" w:hanging="198"/>
        <w:jc w:val="both"/>
        <w:rPr>
          <w:rFonts w:ascii="Arial Unicode MS" w:hAnsi="Arial Unicode MS"/>
          <w:b/>
          <w:bCs/>
          <w:color w:val="993300"/>
          <w:szCs w:val="20"/>
        </w:rPr>
      </w:pPr>
      <w:r w:rsidRPr="00B2293B">
        <w:rPr>
          <w:rFonts w:ascii="Arial Unicode MS" w:hAnsi="Arial Unicode MS"/>
          <w:b/>
          <w:bCs/>
          <w:color w:val="990000"/>
          <w:szCs w:val="20"/>
        </w:rPr>
        <w:t>【</w:t>
      </w:r>
      <w:r w:rsidRPr="00B2293B">
        <w:rPr>
          <w:rFonts w:ascii="Arial Unicode MS" w:hAnsi="Arial Unicode MS" w:hint="eastAsia"/>
          <w:b/>
          <w:bCs/>
          <w:color w:val="990000"/>
          <w:szCs w:val="20"/>
        </w:rPr>
        <w:t>大陸</w:t>
      </w:r>
      <w:r w:rsidRPr="00B2293B">
        <w:rPr>
          <w:rFonts w:ascii="Arial Unicode MS" w:hAnsi="Arial Unicode MS"/>
          <w:b/>
          <w:bCs/>
          <w:color w:val="990000"/>
          <w:szCs w:val="20"/>
        </w:rPr>
        <w:t>法規】</w:t>
      </w:r>
      <w:r w:rsidR="00247AC3" w:rsidRPr="00247AC3">
        <w:rPr>
          <w:rFonts w:ascii="標楷體" w:eastAsia="標楷體" w:hAnsi="標楷體" w:hint="eastAsia"/>
          <w:bCs/>
          <w:color w:val="000000"/>
          <w:kern w:val="0"/>
          <w:sz w:val="28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全國人民代表大會常務委員會關於修改〈中華人民共和國外資企業法〉等四部法律的決定</w:t>
      </w:r>
    </w:p>
    <w:p w14:paraId="53259170" w14:textId="77777777" w:rsidR="00201E46" w:rsidRPr="00E9022C" w:rsidRDefault="00201E46" w:rsidP="00201E46">
      <w:pPr>
        <w:tabs>
          <w:tab w:val="num" w:pos="960"/>
        </w:tabs>
        <w:ind w:left="200" w:hangingChars="100" w:hanging="200"/>
        <w:rPr>
          <w:rFonts w:ascii="Arial Unicode MS" w:hAnsi="Arial Unicode MS"/>
          <w:color w:val="333333"/>
        </w:rPr>
      </w:pPr>
      <w:r w:rsidRPr="00B2293B">
        <w:rPr>
          <w:rFonts w:ascii="Arial Unicode MS" w:hAnsi="Arial Unicode MS"/>
          <w:b/>
          <w:color w:val="990000"/>
        </w:rPr>
        <w:t>【</w:t>
      </w:r>
      <w:r w:rsidRPr="00B2293B">
        <w:rPr>
          <w:rFonts w:ascii="Arial Unicode MS" w:hAnsi="Arial Unicode MS" w:hint="eastAsia"/>
          <w:b/>
          <w:color w:val="990000"/>
        </w:rPr>
        <w:t>發布單位</w:t>
      </w:r>
      <w:r w:rsidRPr="00B2293B">
        <w:rPr>
          <w:rFonts w:ascii="Arial Unicode MS" w:hAnsi="Arial Unicode MS"/>
          <w:b/>
          <w:color w:val="990000"/>
        </w:rPr>
        <w:t>】</w:t>
      </w:r>
      <w:r w:rsidR="0087702E" w:rsidRPr="0087702E">
        <w:rPr>
          <w:rFonts w:ascii="Arial Unicode MS" w:hAnsi="Arial Unicode MS" w:hint="eastAsia"/>
          <w:szCs w:val="20"/>
        </w:rPr>
        <w:t>全國人民代表大會常務委員會</w:t>
      </w:r>
    </w:p>
    <w:p w14:paraId="6349634E" w14:textId="77777777" w:rsidR="00201E46" w:rsidRPr="00177DCB" w:rsidRDefault="00201E46">
      <w:pPr>
        <w:tabs>
          <w:tab w:val="num" w:pos="960"/>
        </w:tabs>
        <w:rPr>
          <w:rFonts w:ascii="Arial Unicode MS" w:hAnsi="Arial Unicode MS"/>
          <w:bCs/>
          <w:color w:val="333333"/>
          <w:szCs w:val="20"/>
        </w:rPr>
      </w:pPr>
      <w:r w:rsidRPr="00B2293B">
        <w:rPr>
          <w:rFonts w:ascii="Arial Unicode MS" w:hAnsi="Arial Unicode MS"/>
          <w:b/>
          <w:color w:val="990000"/>
          <w:szCs w:val="20"/>
        </w:rPr>
        <w:t>【</w:t>
      </w:r>
      <w:r w:rsidRPr="00B2293B">
        <w:rPr>
          <w:rFonts w:ascii="Arial Unicode MS" w:hAnsi="Arial Unicode MS" w:hint="eastAsia"/>
          <w:b/>
          <w:color w:val="990000"/>
          <w:szCs w:val="20"/>
        </w:rPr>
        <w:t>發布日期</w:t>
      </w:r>
      <w:r w:rsidRPr="00B2293B">
        <w:rPr>
          <w:rFonts w:ascii="Arial Unicode MS" w:hAnsi="Arial Unicode MS"/>
          <w:b/>
          <w:color w:val="990000"/>
          <w:szCs w:val="20"/>
        </w:rPr>
        <w:t>】</w:t>
      </w:r>
      <w:r w:rsidR="00A30FD7" w:rsidRPr="00A30FD7">
        <w:rPr>
          <w:rFonts w:ascii="Arial Unicode MS" w:hAnsi="Arial Unicode MS" w:hint="eastAsia"/>
          <w:bCs/>
          <w:color w:val="000000"/>
          <w:szCs w:val="20"/>
        </w:rPr>
        <w:t>2016</w:t>
      </w:r>
      <w:r w:rsidR="00A30FD7" w:rsidRPr="00A30FD7">
        <w:rPr>
          <w:rFonts w:ascii="Arial Unicode MS" w:hAnsi="Arial Unicode MS" w:hint="eastAsia"/>
          <w:bCs/>
          <w:color w:val="000000"/>
          <w:szCs w:val="20"/>
        </w:rPr>
        <w:t>年</w:t>
      </w:r>
      <w:r w:rsidR="00A30FD7" w:rsidRPr="00A30FD7">
        <w:rPr>
          <w:rFonts w:ascii="Arial Unicode MS" w:hAnsi="Arial Unicode MS" w:hint="eastAsia"/>
          <w:bCs/>
          <w:color w:val="000000"/>
          <w:szCs w:val="20"/>
        </w:rPr>
        <w:t>9</w:t>
      </w:r>
      <w:r w:rsidR="00A30FD7" w:rsidRPr="00A30FD7">
        <w:rPr>
          <w:rFonts w:ascii="Arial Unicode MS" w:hAnsi="Arial Unicode MS" w:hint="eastAsia"/>
          <w:bCs/>
          <w:color w:val="000000"/>
          <w:szCs w:val="20"/>
        </w:rPr>
        <w:t>月</w:t>
      </w:r>
      <w:r w:rsidR="00A30FD7" w:rsidRPr="00A30FD7">
        <w:rPr>
          <w:rFonts w:ascii="Arial Unicode MS" w:hAnsi="Arial Unicode MS" w:hint="eastAsia"/>
          <w:bCs/>
          <w:color w:val="000000"/>
          <w:szCs w:val="20"/>
        </w:rPr>
        <w:t>3</w:t>
      </w:r>
      <w:r w:rsidR="00A30FD7" w:rsidRPr="00A30FD7">
        <w:rPr>
          <w:rFonts w:ascii="Arial Unicode MS" w:hAnsi="Arial Unicode MS" w:hint="eastAsia"/>
          <w:bCs/>
          <w:color w:val="000000"/>
          <w:szCs w:val="20"/>
        </w:rPr>
        <w:t>日</w:t>
      </w:r>
    </w:p>
    <w:p w14:paraId="11739D93" w14:textId="77777777" w:rsidR="00201E46" w:rsidRDefault="00201E46">
      <w:pPr>
        <w:ind w:left="1401" w:hangingChars="700" w:hanging="1401"/>
        <w:rPr>
          <w:rFonts w:ascii="Arial Unicode MS" w:hAnsi="Arial Unicode MS"/>
        </w:rPr>
      </w:pPr>
      <w:r w:rsidRPr="00B2293B">
        <w:rPr>
          <w:rFonts w:ascii="Arial Unicode MS" w:hAnsi="Arial Unicode MS"/>
          <w:b/>
          <w:color w:val="990000"/>
        </w:rPr>
        <w:t>【</w:t>
      </w:r>
      <w:r w:rsidRPr="00B2293B">
        <w:rPr>
          <w:rFonts w:ascii="Arial Unicode MS" w:hAnsi="Arial Unicode MS" w:hint="eastAsia"/>
          <w:b/>
          <w:color w:val="990000"/>
        </w:rPr>
        <w:t>實施日期</w:t>
      </w:r>
      <w:r w:rsidRPr="00B2293B">
        <w:rPr>
          <w:rFonts w:ascii="Arial Unicode MS" w:hAnsi="Arial Unicode MS"/>
          <w:b/>
          <w:color w:val="990000"/>
        </w:rPr>
        <w:t>】</w:t>
      </w:r>
      <w:r w:rsidR="00A30FD7" w:rsidRPr="00A30FD7">
        <w:rPr>
          <w:rFonts w:ascii="Arial Unicode MS" w:hAnsi="Arial Unicode MS" w:hint="eastAsia"/>
          <w:bCs/>
          <w:color w:val="000000"/>
        </w:rPr>
        <w:t>2016</w:t>
      </w:r>
      <w:r w:rsidR="00A30FD7" w:rsidRPr="00A30FD7">
        <w:rPr>
          <w:rFonts w:ascii="Arial Unicode MS" w:hAnsi="Arial Unicode MS" w:hint="eastAsia"/>
          <w:bCs/>
          <w:color w:val="000000"/>
        </w:rPr>
        <w:t>年</w:t>
      </w:r>
      <w:r w:rsidR="00A30FD7" w:rsidRPr="00A30FD7">
        <w:rPr>
          <w:rFonts w:ascii="Arial Unicode MS" w:hAnsi="Arial Unicode MS" w:hint="eastAsia"/>
          <w:bCs/>
          <w:color w:val="000000"/>
        </w:rPr>
        <w:t>10</w:t>
      </w:r>
      <w:r w:rsidR="00A30FD7" w:rsidRPr="00A30FD7">
        <w:rPr>
          <w:rFonts w:ascii="Arial Unicode MS" w:hAnsi="Arial Unicode MS" w:hint="eastAsia"/>
          <w:bCs/>
          <w:color w:val="000000"/>
        </w:rPr>
        <w:t>月</w:t>
      </w:r>
      <w:r w:rsidR="00A30FD7" w:rsidRPr="00A30FD7">
        <w:rPr>
          <w:rFonts w:ascii="Arial Unicode MS" w:hAnsi="Arial Unicode MS" w:hint="eastAsia"/>
          <w:bCs/>
          <w:color w:val="000000"/>
        </w:rPr>
        <w:t>1</w:t>
      </w:r>
      <w:r w:rsidR="00A30FD7" w:rsidRPr="00A30FD7">
        <w:rPr>
          <w:rFonts w:ascii="Arial Unicode MS" w:hAnsi="Arial Unicode MS" w:hint="eastAsia"/>
          <w:bCs/>
          <w:color w:val="000000"/>
        </w:rPr>
        <w:t>日</w:t>
      </w:r>
    </w:p>
    <w:p w14:paraId="1B70DC02" w14:textId="77777777" w:rsidR="00177DCB" w:rsidRPr="00E9022C" w:rsidRDefault="00177DCB" w:rsidP="00177DCB">
      <w:pPr>
        <w:ind w:left="1400" w:hangingChars="700" w:hanging="1400"/>
        <w:rPr>
          <w:rFonts w:ascii="Arial Unicode MS" w:hAnsi="Arial Unicode MS"/>
          <w:color w:val="333333"/>
        </w:rPr>
      </w:pPr>
    </w:p>
    <w:p w14:paraId="53B4F6C4" w14:textId="77777777" w:rsidR="001974AB" w:rsidRPr="00334965" w:rsidRDefault="00201E46" w:rsidP="0018460E">
      <w:pPr>
        <w:pStyle w:val="1"/>
        <w:spacing w:beforeLines="30" w:before="108" w:beforeAutospacing="0" w:afterLines="30" w:after="108" w:afterAutospacing="0"/>
        <w:rPr>
          <w:color w:val="990000"/>
        </w:rPr>
      </w:pPr>
      <w:r w:rsidRPr="00334965">
        <w:rPr>
          <w:color w:val="990000"/>
        </w:rPr>
        <w:t>【</w:t>
      </w:r>
      <w:r w:rsidRPr="00334965">
        <w:rPr>
          <w:rFonts w:hint="eastAsia"/>
          <w:color w:val="990000"/>
        </w:rPr>
        <w:t>法規沿革</w:t>
      </w:r>
      <w:r w:rsidRPr="00334965">
        <w:rPr>
          <w:color w:val="990000"/>
        </w:rPr>
        <w:t>】</w:t>
      </w:r>
    </w:p>
    <w:p w14:paraId="606BA653" w14:textId="77777777" w:rsidR="00201E46" w:rsidRPr="00D11C67" w:rsidRDefault="003F1567" w:rsidP="005D7873">
      <w:pPr>
        <w:ind w:leftChars="59" w:left="118"/>
        <w:rPr>
          <w:rFonts w:ascii="Arial Unicode MS" w:hAnsi="Arial Unicode MS"/>
          <w:bCs/>
          <w:color w:val="000000"/>
        </w:rPr>
      </w:pPr>
      <w:r w:rsidRPr="00D11C67">
        <w:rPr>
          <w:rFonts w:ascii="Arial Unicode MS" w:hAnsi="Arial Unicode MS" w:hint="eastAsia"/>
          <w:bCs/>
          <w:color w:val="000000"/>
        </w:rPr>
        <w:t>‧</w:t>
      </w:r>
      <w:r w:rsidR="00247AC3" w:rsidRPr="00D11C67">
        <w:rPr>
          <w:rFonts w:ascii="Arial Unicode MS" w:hAnsi="Arial Unicode MS" w:hint="eastAsia"/>
          <w:bCs/>
          <w:color w:val="000000"/>
        </w:rPr>
        <w:t>2016</w:t>
      </w:r>
      <w:r w:rsidR="00247AC3" w:rsidRPr="00D11C67">
        <w:rPr>
          <w:rFonts w:ascii="Arial Unicode MS" w:hAnsi="Arial Unicode MS" w:hint="eastAsia"/>
          <w:bCs/>
          <w:color w:val="000000"/>
        </w:rPr>
        <w:t>年</w:t>
      </w:r>
      <w:r w:rsidR="00247AC3" w:rsidRPr="00D11C67">
        <w:rPr>
          <w:rFonts w:ascii="Arial Unicode MS" w:hAnsi="Arial Unicode MS" w:hint="eastAsia"/>
          <w:bCs/>
          <w:color w:val="000000"/>
        </w:rPr>
        <w:t>9</w:t>
      </w:r>
      <w:r w:rsidR="00247AC3" w:rsidRPr="00D11C67">
        <w:rPr>
          <w:rFonts w:ascii="Arial Unicode MS" w:hAnsi="Arial Unicode MS" w:hint="eastAsia"/>
          <w:bCs/>
          <w:color w:val="000000"/>
        </w:rPr>
        <w:t>月</w:t>
      </w:r>
      <w:r w:rsidR="00247AC3" w:rsidRPr="00D11C67">
        <w:rPr>
          <w:rFonts w:ascii="Arial Unicode MS" w:hAnsi="Arial Unicode MS" w:hint="eastAsia"/>
          <w:bCs/>
          <w:color w:val="000000"/>
        </w:rPr>
        <w:t>3</w:t>
      </w:r>
      <w:r w:rsidR="00247AC3" w:rsidRPr="00D11C67">
        <w:rPr>
          <w:rFonts w:ascii="Arial Unicode MS" w:hAnsi="Arial Unicode MS" w:hint="eastAsia"/>
          <w:bCs/>
          <w:color w:val="000000"/>
        </w:rPr>
        <w:t>日第十二屆全國人民代表大會常務委員會第二十二次會議通過，自</w:t>
      </w:r>
      <w:r w:rsidR="00247AC3" w:rsidRPr="00D11C67">
        <w:rPr>
          <w:rFonts w:ascii="Arial Unicode MS" w:hAnsi="Arial Unicode MS" w:hint="eastAsia"/>
          <w:bCs/>
          <w:color w:val="000000"/>
        </w:rPr>
        <w:t>2016</w:t>
      </w:r>
      <w:r w:rsidR="00247AC3" w:rsidRPr="00D11C67">
        <w:rPr>
          <w:rFonts w:ascii="Arial Unicode MS" w:hAnsi="Arial Unicode MS" w:hint="eastAsia"/>
          <w:bCs/>
          <w:color w:val="000000"/>
        </w:rPr>
        <w:t>年</w:t>
      </w:r>
      <w:r w:rsidR="00247AC3" w:rsidRPr="00D11C67">
        <w:rPr>
          <w:rFonts w:ascii="Arial Unicode MS" w:hAnsi="Arial Unicode MS" w:hint="eastAsia"/>
          <w:bCs/>
          <w:color w:val="000000"/>
        </w:rPr>
        <w:t>10</w:t>
      </w:r>
      <w:r w:rsidR="00247AC3" w:rsidRPr="00D11C67">
        <w:rPr>
          <w:rFonts w:ascii="Arial Unicode MS" w:hAnsi="Arial Unicode MS" w:hint="eastAsia"/>
          <w:bCs/>
          <w:color w:val="000000"/>
        </w:rPr>
        <w:t>月</w:t>
      </w:r>
      <w:r w:rsidR="00247AC3" w:rsidRPr="00D11C67">
        <w:rPr>
          <w:rFonts w:ascii="Arial Unicode MS" w:hAnsi="Arial Unicode MS" w:hint="eastAsia"/>
          <w:bCs/>
          <w:color w:val="000000"/>
        </w:rPr>
        <w:t>1</w:t>
      </w:r>
      <w:r w:rsidR="00247AC3" w:rsidRPr="00D11C67">
        <w:rPr>
          <w:rFonts w:ascii="Arial Unicode MS" w:hAnsi="Arial Unicode MS" w:hint="eastAsia"/>
          <w:bCs/>
          <w:color w:val="000000"/>
        </w:rPr>
        <w:t>日起施行</w:t>
      </w:r>
    </w:p>
    <w:p w14:paraId="1CD8B84A" w14:textId="77777777" w:rsidR="00247AC3" w:rsidRPr="003F1567" w:rsidRDefault="00247AC3" w:rsidP="005D7873">
      <w:pPr>
        <w:ind w:leftChars="59" w:left="118"/>
        <w:rPr>
          <w:rFonts w:ascii="Arial Unicode MS" w:hAnsi="Arial Unicode MS"/>
          <w:bCs/>
          <w:color w:val="000000"/>
          <w:sz w:val="18"/>
        </w:rPr>
      </w:pPr>
    </w:p>
    <w:p w14:paraId="4122A535" w14:textId="77777777" w:rsidR="00201E46" w:rsidRPr="00334965" w:rsidRDefault="00201E46" w:rsidP="0018460E">
      <w:pPr>
        <w:pStyle w:val="1"/>
        <w:spacing w:beforeLines="30" w:before="108" w:beforeAutospacing="0" w:afterLines="30" w:after="108" w:afterAutospacing="0"/>
        <w:rPr>
          <w:color w:val="990000"/>
          <w:szCs w:val="27"/>
          <w:lang w:val="zh-TW"/>
        </w:rPr>
      </w:pPr>
      <w:r w:rsidRPr="00334965">
        <w:rPr>
          <w:color w:val="990000"/>
        </w:rPr>
        <w:t>【</w:t>
      </w:r>
      <w:r w:rsidRPr="00334965">
        <w:rPr>
          <w:rFonts w:hint="eastAsia"/>
          <w:color w:val="990000"/>
        </w:rPr>
        <w:t>法規內容</w:t>
      </w:r>
      <w:r w:rsidRPr="00334965">
        <w:rPr>
          <w:color w:val="990000"/>
        </w:rPr>
        <w:t>】</w:t>
      </w:r>
    </w:p>
    <w:p w14:paraId="6928B02D" w14:textId="77777777" w:rsidR="00247AC3" w:rsidRPr="00247AC3" w:rsidRDefault="00247AC3" w:rsidP="00247AC3">
      <w:pPr>
        <w:ind w:leftChars="75" w:left="150"/>
        <w:jc w:val="both"/>
        <w:rPr>
          <w:rFonts w:ascii="Arial Unicode MS" w:hAnsi="Arial Unicode MS"/>
        </w:rPr>
      </w:pPr>
      <w:bookmarkStart w:id="2" w:name="_第一章__總"/>
      <w:bookmarkEnd w:id="2"/>
      <w:r>
        <w:rPr>
          <w:rFonts w:ascii="Arial Unicode MS" w:hAnsi="Arial Unicode MS" w:hint="eastAsia"/>
        </w:rPr>
        <w:t xml:space="preserve">　　</w:t>
      </w:r>
      <w:r w:rsidRPr="00247AC3">
        <w:rPr>
          <w:rFonts w:ascii="Arial Unicode MS" w:hAnsi="Arial Unicode MS" w:hint="eastAsia"/>
        </w:rPr>
        <w:t>第十二屆全國人民代表大會常務委員會第二十二次會議決定：</w:t>
      </w:r>
    </w:p>
    <w:p w14:paraId="58FBAAF4" w14:textId="77777777" w:rsidR="00247AC3" w:rsidRPr="00AD32B0" w:rsidRDefault="00247AC3" w:rsidP="00247AC3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3" w:name="a1"/>
      <w:bookmarkEnd w:id="3"/>
      <w:r w:rsidRPr="00AD32B0">
        <w:rPr>
          <w:rFonts w:hint="eastAsia"/>
          <w:b w:val="0"/>
        </w:rPr>
        <w:t>一、對《</w:t>
      </w:r>
      <w:hyperlink r:id="rId13" w:history="1">
        <w:r w:rsidRPr="00AD32B0">
          <w:rPr>
            <w:rStyle w:val="a3"/>
            <w:rFonts w:ascii="Arial Unicode MS" w:hAnsi="Arial Unicode MS" w:hint="eastAsia"/>
            <w:b w:val="0"/>
          </w:rPr>
          <w:t>中華人民共和國外資企業法</w:t>
        </w:r>
      </w:hyperlink>
      <w:r w:rsidRPr="00AD32B0">
        <w:rPr>
          <w:rFonts w:hint="eastAsia"/>
          <w:b w:val="0"/>
        </w:rPr>
        <w:t>》作出修改</w:t>
      </w:r>
    </w:p>
    <w:p w14:paraId="49DA2F1A" w14:textId="77777777" w:rsidR="00247AC3" w:rsidRPr="00247AC3" w:rsidRDefault="00247AC3" w:rsidP="00247AC3">
      <w:pPr>
        <w:ind w:leftChars="75" w:left="150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247AC3">
        <w:rPr>
          <w:rFonts w:ascii="Arial Unicode MS" w:hAnsi="Arial Unicode MS" w:hint="eastAsia"/>
        </w:rPr>
        <w:t>增加一條，作為第二十三條：“舉辦外資企業不涉及國家規定實施准入特別管理措施的，對本法第六條、第十條、第二十條規定的審批事項，適用備案管理。國家規定的准入特別管理措施由國務院發佈或者批准發佈。”</w:t>
      </w:r>
      <w:r w:rsidRPr="00247AC3">
        <w:rPr>
          <w:rFonts w:ascii="Arial Unicode MS" w:hAnsi="Arial Unicode MS" w:hint="eastAsia"/>
        </w:rPr>
        <w:t xml:space="preserve"> </w:t>
      </w:r>
    </w:p>
    <w:p w14:paraId="524DD7D4" w14:textId="77777777" w:rsidR="00247AC3" w:rsidRPr="00247AC3" w:rsidRDefault="00247AC3" w:rsidP="00247AC3">
      <w:pPr>
        <w:ind w:leftChars="75" w:left="150"/>
        <w:jc w:val="both"/>
        <w:rPr>
          <w:rFonts w:ascii="Arial Unicode MS" w:hAnsi="Arial Unicode MS"/>
        </w:rPr>
      </w:pPr>
    </w:p>
    <w:p w14:paraId="0F5DC2A0" w14:textId="77777777" w:rsidR="00247AC3" w:rsidRPr="002C44B5" w:rsidRDefault="00247AC3" w:rsidP="00247AC3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4" w:name="a2"/>
      <w:bookmarkEnd w:id="4"/>
      <w:r w:rsidRPr="002C44B5">
        <w:rPr>
          <w:rFonts w:hint="eastAsia"/>
          <w:b w:val="0"/>
        </w:rPr>
        <w:t>二、對《</w:t>
      </w:r>
      <w:hyperlink r:id="rId14" w:history="1">
        <w:r w:rsidRPr="002C44B5">
          <w:rPr>
            <w:rStyle w:val="a3"/>
            <w:rFonts w:ascii="Arial Unicode MS" w:hAnsi="Arial Unicode MS" w:hint="eastAsia"/>
            <w:b w:val="0"/>
          </w:rPr>
          <w:t>中華人民共和國中外合資經營企業法</w:t>
        </w:r>
      </w:hyperlink>
      <w:r w:rsidRPr="002C44B5">
        <w:rPr>
          <w:rFonts w:hint="eastAsia"/>
          <w:b w:val="0"/>
        </w:rPr>
        <w:t>》作出修改</w:t>
      </w:r>
    </w:p>
    <w:p w14:paraId="1B00291A" w14:textId="77777777" w:rsidR="00247AC3" w:rsidRPr="00247AC3" w:rsidRDefault="00247AC3" w:rsidP="00247AC3">
      <w:pPr>
        <w:ind w:leftChars="75" w:left="150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247AC3">
        <w:rPr>
          <w:rFonts w:ascii="Arial Unicode MS" w:hAnsi="Arial Unicode MS" w:hint="eastAsia"/>
        </w:rPr>
        <w:t>增加一條，作為第十五條：“舉辦合營企業不涉及國家規定實施准入特別管理措施的，對本法第三條、第十三條、第十四條規定的審批事項，適用備案管理。國家規定的准入特別管理措施由國務院發佈或者批准發佈。”</w:t>
      </w:r>
    </w:p>
    <w:p w14:paraId="70358E07" w14:textId="77777777" w:rsidR="00247AC3" w:rsidRPr="00247AC3" w:rsidRDefault="00247AC3" w:rsidP="00247AC3">
      <w:pPr>
        <w:ind w:leftChars="75" w:left="150"/>
        <w:jc w:val="both"/>
        <w:rPr>
          <w:rFonts w:ascii="Arial Unicode MS" w:hAnsi="Arial Unicode MS"/>
        </w:rPr>
      </w:pPr>
    </w:p>
    <w:p w14:paraId="51969C9A" w14:textId="77777777" w:rsidR="00247AC3" w:rsidRPr="002C44B5" w:rsidRDefault="00247AC3" w:rsidP="00247AC3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5" w:name="a23"/>
      <w:bookmarkEnd w:id="5"/>
      <w:r w:rsidRPr="002C44B5">
        <w:rPr>
          <w:rFonts w:hint="eastAsia"/>
          <w:b w:val="0"/>
        </w:rPr>
        <w:t>三、對《</w:t>
      </w:r>
      <w:hyperlink r:id="rId15" w:history="1">
        <w:r w:rsidRPr="002C44B5">
          <w:rPr>
            <w:rStyle w:val="a3"/>
            <w:rFonts w:ascii="Arial Unicode MS" w:hAnsi="Arial Unicode MS" w:hint="eastAsia"/>
            <w:b w:val="0"/>
          </w:rPr>
          <w:t>中華人民共和國中外合作經營企業法</w:t>
        </w:r>
      </w:hyperlink>
      <w:r w:rsidRPr="002C44B5">
        <w:rPr>
          <w:rFonts w:hint="eastAsia"/>
          <w:b w:val="0"/>
        </w:rPr>
        <w:t>》作出修改</w:t>
      </w:r>
    </w:p>
    <w:p w14:paraId="1A0295BE" w14:textId="77777777" w:rsidR="00247AC3" w:rsidRPr="00247AC3" w:rsidRDefault="00247AC3" w:rsidP="00247AC3">
      <w:pPr>
        <w:ind w:leftChars="75" w:left="150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247AC3">
        <w:rPr>
          <w:rFonts w:ascii="Arial Unicode MS" w:hAnsi="Arial Unicode MS" w:hint="eastAsia"/>
        </w:rPr>
        <w:t>增加一條，作為第二十五條：“舉辦合作企業不涉及國家規定實施准入特別管理措施的，對本法第五條、第七條、第十條、第十二條第二款、第二十四條規定的審批事項，適用備案管理。國家規定的准入特別管理措施由國務院發佈或者批准發佈。”</w:t>
      </w:r>
    </w:p>
    <w:p w14:paraId="70374CAC" w14:textId="77777777" w:rsidR="00247AC3" w:rsidRPr="00247AC3" w:rsidRDefault="00247AC3" w:rsidP="00247AC3">
      <w:pPr>
        <w:ind w:leftChars="75" w:left="150"/>
        <w:jc w:val="both"/>
        <w:rPr>
          <w:rFonts w:ascii="Arial Unicode MS" w:hAnsi="Arial Unicode MS"/>
        </w:rPr>
      </w:pPr>
    </w:p>
    <w:p w14:paraId="14855A99" w14:textId="77777777" w:rsidR="00247AC3" w:rsidRPr="00AD32B0" w:rsidRDefault="00247AC3" w:rsidP="00247AC3">
      <w:pPr>
        <w:pStyle w:val="2"/>
        <w:spacing w:beforeLines="30" w:before="108" w:beforeAutospacing="0" w:afterLines="30" w:after="108" w:afterAutospacing="0"/>
        <w:rPr>
          <w:b w:val="0"/>
        </w:rPr>
      </w:pPr>
      <w:bookmarkStart w:id="6" w:name="a4"/>
      <w:bookmarkEnd w:id="6"/>
      <w:r w:rsidRPr="00AD32B0">
        <w:rPr>
          <w:rFonts w:hint="eastAsia"/>
          <w:b w:val="0"/>
        </w:rPr>
        <w:t>四、對《</w:t>
      </w:r>
      <w:hyperlink r:id="rId16" w:history="1">
        <w:r w:rsidRPr="00AD32B0">
          <w:rPr>
            <w:rStyle w:val="a3"/>
            <w:rFonts w:ascii="Arial Unicode MS" w:hAnsi="Arial Unicode MS" w:hint="eastAsia"/>
            <w:b w:val="0"/>
          </w:rPr>
          <w:t>中華人民共和國臺灣同胞投資保護法</w:t>
        </w:r>
      </w:hyperlink>
      <w:r w:rsidRPr="00AD32B0">
        <w:rPr>
          <w:rFonts w:hint="eastAsia"/>
          <w:b w:val="0"/>
        </w:rPr>
        <w:t>》作出修改</w:t>
      </w:r>
    </w:p>
    <w:p w14:paraId="5AF159A6" w14:textId="77777777" w:rsidR="00247AC3" w:rsidRDefault="00247AC3" w:rsidP="00247AC3">
      <w:pPr>
        <w:ind w:leftChars="75" w:left="150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t xml:space="preserve">　　</w:t>
      </w:r>
      <w:r w:rsidRPr="00247AC3">
        <w:rPr>
          <w:rFonts w:ascii="Arial Unicode MS" w:hAnsi="Arial Unicode MS" w:hint="eastAsia"/>
        </w:rPr>
        <w:t>增加一條，作為第十四條：“舉辦臺灣同胞投資企業不涉及國家規定實施准入特別管理措施的，對本法第八條第一款規定的審批事項，適用備案管理。國家規定的准入特別管理措施由國務院發佈或者批准發佈。”</w:t>
      </w:r>
    </w:p>
    <w:p w14:paraId="78092CBD" w14:textId="77777777" w:rsidR="00247AC3" w:rsidRDefault="00247AC3" w:rsidP="00247AC3">
      <w:pPr>
        <w:ind w:leftChars="75" w:left="150"/>
        <w:jc w:val="both"/>
        <w:rPr>
          <w:rFonts w:ascii="Arial Unicode MS" w:hAnsi="Arial Unicode MS"/>
        </w:rPr>
      </w:pPr>
    </w:p>
    <w:p w14:paraId="13063D08" w14:textId="77777777" w:rsidR="00247AC3" w:rsidRPr="00247AC3" w:rsidRDefault="00247AC3" w:rsidP="00247AC3">
      <w:pPr>
        <w:ind w:leftChars="75" w:left="150"/>
        <w:jc w:val="both"/>
        <w:rPr>
          <w:rFonts w:ascii="Arial Unicode MS" w:hAnsi="Arial Unicode MS"/>
        </w:rPr>
      </w:pPr>
      <w:r>
        <w:rPr>
          <w:rFonts w:ascii="Arial Unicode MS" w:hAnsi="Arial Unicode MS" w:hint="eastAsia"/>
        </w:rPr>
        <w:lastRenderedPageBreak/>
        <w:t xml:space="preserve">　　</w:t>
      </w:r>
      <w:r w:rsidRPr="00247AC3">
        <w:rPr>
          <w:rFonts w:ascii="Arial Unicode MS" w:hAnsi="Arial Unicode MS" w:hint="eastAsia"/>
        </w:rPr>
        <w:t>本決定自</w:t>
      </w:r>
      <w:r w:rsidRPr="00247AC3">
        <w:rPr>
          <w:rFonts w:ascii="Arial Unicode MS" w:hAnsi="Arial Unicode MS" w:hint="eastAsia"/>
        </w:rPr>
        <w:t>2016</w:t>
      </w:r>
      <w:r w:rsidRPr="00247AC3">
        <w:rPr>
          <w:rFonts w:ascii="Arial Unicode MS" w:hAnsi="Arial Unicode MS" w:hint="eastAsia"/>
        </w:rPr>
        <w:t>年</w:t>
      </w:r>
      <w:r w:rsidRPr="00247AC3">
        <w:rPr>
          <w:rFonts w:ascii="Arial Unicode MS" w:hAnsi="Arial Unicode MS" w:hint="eastAsia"/>
        </w:rPr>
        <w:t>10</w:t>
      </w:r>
      <w:r w:rsidRPr="00247AC3">
        <w:rPr>
          <w:rFonts w:ascii="Arial Unicode MS" w:hAnsi="Arial Unicode MS" w:hint="eastAsia"/>
        </w:rPr>
        <w:t>月</w:t>
      </w:r>
      <w:r w:rsidRPr="00247AC3">
        <w:rPr>
          <w:rFonts w:ascii="Arial Unicode MS" w:hAnsi="Arial Unicode MS" w:hint="eastAsia"/>
        </w:rPr>
        <w:t>1</w:t>
      </w:r>
      <w:r w:rsidRPr="00247AC3">
        <w:rPr>
          <w:rFonts w:ascii="Arial Unicode MS" w:hAnsi="Arial Unicode MS" w:hint="eastAsia"/>
        </w:rPr>
        <w:t>日起施行。自本決定施行之日起，</w:t>
      </w:r>
      <w:r w:rsidRPr="00247AC3">
        <w:rPr>
          <w:rFonts w:ascii="Arial Unicode MS" w:hAnsi="Arial Unicode MS" w:hint="eastAsia"/>
        </w:rPr>
        <w:t>2013</w:t>
      </w:r>
      <w:r w:rsidRPr="00247AC3">
        <w:rPr>
          <w:rFonts w:ascii="Arial Unicode MS" w:hAnsi="Arial Unicode MS" w:hint="eastAsia"/>
        </w:rPr>
        <w:t>年</w:t>
      </w:r>
      <w:r w:rsidRPr="00247AC3">
        <w:rPr>
          <w:rFonts w:ascii="Arial Unicode MS" w:hAnsi="Arial Unicode MS" w:hint="eastAsia"/>
        </w:rPr>
        <w:t>8</w:t>
      </w:r>
      <w:r w:rsidRPr="00247AC3">
        <w:rPr>
          <w:rFonts w:ascii="Arial Unicode MS" w:hAnsi="Arial Unicode MS" w:hint="eastAsia"/>
        </w:rPr>
        <w:t>月</w:t>
      </w:r>
      <w:r w:rsidRPr="00247AC3">
        <w:rPr>
          <w:rFonts w:ascii="Arial Unicode MS" w:hAnsi="Arial Unicode MS" w:hint="eastAsia"/>
        </w:rPr>
        <w:t>30</w:t>
      </w:r>
      <w:r w:rsidRPr="00247AC3">
        <w:rPr>
          <w:rFonts w:ascii="Arial Unicode MS" w:hAnsi="Arial Unicode MS" w:hint="eastAsia"/>
        </w:rPr>
        <w:t>日第十二屆全國人民代表大會常務委員會第四次會議通過的《全國人民代表大會常務委員會關於授權國務院在中國（上海）自由貿易試驗區暫時調整有關法律規定的行政審批的決定》、</w:t>
      </w:r>
      <w:r w:rsidRPr="00247AC3">
        <w:rPr>
          <w:rFonts w:ascii="Arial Unicode MS" w:hAnsi="Arial Unicode MS" w:hint="eastAsia"/>
        </w:rPr>
        <w:t>2014</w:t>
      </w:r>
      <w:r w:rsidRPr="00247AC3">
        <w:rPr>
          <w:rFonts w:ascii="Arial Unicode MS" w:hAnsi="Arial Unicode MS" w:hint="eastAsia"/>
        </w:rPr>
        <w:t>年</w:t>
      </w:r>
      <w:r w:rsidRPr="00247AC3">
        <w:rPr>
          <w:rFonts w:ascii="Arial Unicode MS" w:hAnsi="Arial Unicode MS" w:hint="eastAsia"/>
        </w:rPr>
        <w:t>12</w:t>
      </w:r>
      <w:r w:rsidRPr="00247AC3">
        <w:rPr>
          <w:rFonts w:ascii="Arial Unicode MS" w:hAnsi="Arial Unicode MS" w:hint="eastAsia"/>
        </w:rPr>
        <w:t>月</w:t>
      </w:r>
      <w:r w:rsidRPr="00247AC3">
        <w:rPr>
          <w:rFonts w:ascii="Arial Unicode MS" w:hAnsi="Arial Unicode MS" w:hint="eastAsia"/>
        </w:rPr>
        <w:t>28</w:t>
      </w:r>
      <w:r w:rsidRPr="00247AC3">
        <w:rPr>
          <w:rFonts w:ascii="Arial Unicode MS" w:hAnsi="Arial Unicode MS" w:hint="eastAsia"/>
        </w:rPr>
        <w:t>日第十二屆全國人民代表大會常務委員會第十二次會議通過的《全國人民代表大會常務委員會關於授權國務院在中國（廣東）自由貿易試驗區、中國（天津）自由貿易試驗區、中國（福建）自由貿易試驗區以及中國（上海）自由貿易試驗區擴展區域暫時調整有關法律規定的行政審批的決定》的效力相應終止。</w:t>
      </w:r>
    </w:p>
    <w:p w14:paraId="716024CF" w14:textId="77777777" w:rsidR="00247AC3" w:rsidRPr="00247AC3" w:rsidRDefault="00247AC3" w:rsidP="00247AC3">
      <w:pPr>
        <w:ind w:leftChars="75" w:left="150"/>
        <w:jc w:val="both"/>
        <w:rPr>
          <w:rFonts w:ascii="Arial Unicode MS" w:hAnsi="Arial Unicode MS"/>
        </w:rPr>
      </w:pPr>
      <w:r w:rsidRPr="00247AC3">
        <w:rPr>
          <w:rFonts w:ascii="Arial Unicode MS" w:hAnsi="Arial Unicode MS" w:hint="eastAsia"/>
        </w:rPr>
        <w:t xml:space="preserve">　　《中華人民共和國外資企業法》、《中華人民共和國中外合資經營企業法》、《中華人民共和國中外合作經營企業法》、《中華人民共和國臺灣同胞投資保護法》根據本決定作相應修改，重新公佈。</w:t>
      </w:r>
    </w:p>
    <w:p w14:paraId="10710F4A" w14:textId="77777777" w:rsidR="00B2293B" w:rsidRPr="00E9022C" w:rsidRDefault="00B2293B" w:rsidP="005D7873">
      <w:pPr>
        <w:ind w:leftChars="75" w:left="150"/>
        <w:jc w:val="both"/>
        <w:rPr>
          <w:rFonts w:ascii="Arial Unicode MS" w:hAnsi="Arial Unicode MS"/>
        </w:rPr>
      </w:pPr>
    </w:p>
    <w:p w14:paraId="5C64478C" w14:textId="77777777" w:rsidR="001635EA" w:rsidRPr="00E9022C" w:rsidRDefault="001635EA" w:rsidP="005D7873">
      <w:pPr>
        <w:ind w:leftChars="75" w:left="150"/>
        <w:jc w:val="both"/>
        <w:rPr>
          <w:rFonts w:ascii="Arial Unicode MS" w:hAnsi="Arial Unicode MS"/>
        </w:rPr>
      </w:pPr>
    </w:p>
    <w:p w14:paraId="6AB645D5" w14:textId="77777777" w:rsidR="00C418AE" w:rsidRPr="00C1655B" w:rsidRDefault="00C418AE" w:rsidP="00C418AE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</w:t>
        </w:r>
        <w:r w:rsidRPr="00C1655B">
          <w:rPr>
            <w:rStyle w:val="a3"/>
            <w:rFonts w:ascii="Arial Unicode MS" w:hAnsi="Arial Unicode MS" w:hint="eastAsia"/>
            <w:sz w:val="18"/>
          </w:rPr>
          <w:t>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6DA1EC52" w14:textId="77777777" w:rsidR="00C418AE" w:rsidRDefault="00C418AE" w:rsidP="00C418AE">
      <w:pPr>
        <w:jc w:val="both"/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7" w:history="1">
        <w:r w:rsidRPr="00327226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0AE1E73E" w14:textId="41CCD939" w:rsidR="00201E46" w:rsidRPr="00C418AE" w:rsidRDefault="00201E46" w:rsidP="00C418AE">
      <w:pPr>
        <w:ind w:leftChars="50" w:left="100"/>
        <w:jc w:val="both"/>
        <w:rPr>
          <w:rFonts w:ascii="Arial Unicode MS" w:hAnsi="Arial Unicode MS"/>
        </w:rPr>
      </w:pPr>
    </w:p>
    <w:sectPr w:rsidR="00201E46" w:rsidRPr="00C418AE">
      <w:footerReference w:type="even" r:id="rId18"/>
      <w:footerReference w:type="default" r:id="rId19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8B42" w14:textId="77777777" w:rsidR="00A5748C" w:rsidRDefault="00A5748C">
      <w:r>
        <w:separator/>
      </w:r>
    </w:p>
  </w:endnote>
  <w:endnote w:type="continuationSeparator" w:id="0">
    <w:p w14:paraId="2E5CF8CD" w14:textId="77777777" w:rsidR="00A5748C" w:rsidRDefault="00A5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4815" w14:textId="77777777" w:rsidR="00626027" w:rsidRDefault="006260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974C7C" w14:textId="77777777" w:rsidR="00626027" w:rsidRDefault="0062602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57F3" w14:textId="77777777" w:rsidR="00626027" w:rsidRDefault="0062602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0C3E">
      <w:rPr>
        <w:rStyle w:val="a7"/>
        <w:noProof/>
      </w:rPr>
      <w:t>1</w:t>
    </w:r>
    <w:r>
      <w:rPr>
        <w:rStyle w:val="a7"/>
      </w:rPr>
      <w:fldChar w:fldCharType="end"/>
    </w:r>
  </w:p>
  <w:p w14:paraId="1267EF01" w14:textId="2D188372" w:rsidR="00626027" w:rsidRPr="00344CF6" w:rsidRDefault="00344CF6" w:rsidP="001635EA">
    <w:pPr>
      <w:pStyle w:val="a6"/>
      <w:ind w:right="360"/>
      <w:jc w:val="right"/>
      <w:rPr>
        <w:rFonts w:ascii="Arial Unicode MS" w:hAnsi="Arial Unicode MS"/>
        <w:sz w:val="18"/>
      </w:rPr>
    </w:pPr>
    <w:r w:rsidRPr="00344CF6">
      <w:rPr>
        <w:rFonts w:ascii="Arial Unicode MS" w:hAnsi="Arial Unicode MS"/>
        <w:sz w:val="18"/>
        <w:szCs w:val="18"/>
      </w:rPr>
      <w:t>〈〈</w:t>
    </w:r>
    <w:r w:rsidR="0018460E" w:rsidRPr="00344CF6">
      <w:rPr>
        <w:rFonts w:hint="eastAsia"/>
        <w:sz w:val="18"/>
      </w:rPr>
      <w:t>全國人民代表大會常務委員會關於修改〈中華人民共和國外資企業法〉等四部法律的決定</w:t>
    </w:r>
    <w:r w:rsidRPr="00344CF6">
      <w:rPr>
        <w:rFonts w:ascii="Arial Unicode MS" w:hAnsi="Arial Unicode MS"/>
        <w:sz w:val="18"/>
        <w:szCs w:val="18"/>
      </w:rPr>
      <w:t>〉〉</w:t>
    </w:r>
    <w:r w:rsidR="001635EA" w:rsidRPr="00344CF6">
      <w:rPr>
        <w:rFonts w:ascii="Arial Unicode MS" w:hAnsi="Arial Unicode MS"/>
        <w:sz w:val="18"/>
        <w:szCs w:val="18"/>
      </w:rPr>
      <w:t>S-link</w:t>
    </w:r>
    <w:r w:rsidR="001635EA" w:rsidRPr="00344CF6">
      <w:rPr>
        <w:rFonts w:ascii="Arial Unicode MS" w:hAnsi="Arial Unicode MS" w:cs="新細明體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DE75" w14:textId="77777777" w:rsidR="00A5748C" w:rsidRDefault="00A5748C">
      <w:r>
        <w:separator/>
      </w:r>
    </w:p>
  </w:footnote>
  <w:footnote w:type="continuationSeparator" w:id="0">
    <w:p w14:paraId="276C777F" w14:textId="77777777" w:rsidR="00A5748C" w:rsidRDefault="00A5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5AD8"/>
    <w:multiLevelType w:val="hybridMultilevel"/>
    <w:tmpl w:val="42541986"/>
    <w:lvl w:ilvl="0" w:tplc="2B107502">
      <w:start w:val="3"/>
      <w:numFmt w:val="taiwaneseCountingThousand"/>
      <w:lvlText w:val="第%1章"/>
      <w:lvlJc w:val="left"/>
      <w:pPr>
        <w:tabs>
          <w:tab w:val="num" w:pos="1358"/>
        </w:tabs>
        <w:ind w:left="13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8"/>
        </w:tabs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8"/>
        </w:tabs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8"/>
        </w:tabs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8"/>
        </w:tabs>
        <w:ind w:left="4718" w:hanging="480"/>
      </w:pPr>
    </w:lvl>
  </w:abstractNum>
  <w:abstractNum w:abstractNumId="1" w15:restartNumberingAfterBreak="0">
    <w:nsid w:val="32191FC3"/>
    <w:multiLevelType w:val="hybridMultilevel"/>
    <w:tmpl w:val="9F32C358"/>
    <w:lvl w:ilvl="0" w:tplc="FDAEC0DE">
      <w:start w:val="2"/>
      <w:numFmt w:val="taiwaneseCountingThousand"/>
      <w:lvlText w:val="第%1章"/>
      <w:lvlJc w:val="left"/>
      <w:pPr>
        <w:tabs>
          <w:tab w:val="num" w:pos="1380"/>
        </w:tabs>
        <w:ind w:left="13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3AD53E25"/>
    <w:multiLevelType w:val="hybridMultilevel"/>
    <w:tmpl w:val="8B16444C"/>
    <w:lvl w:ilvl="0" w:tplc="2B107502">
      <w:start w:val="3"/>
      <w:numFmt w:val="taiwaneseCountingThousand"/>
      <w:lvlText w:val="第%1章"/>
      <w:lvlJc w:val="left"/>
      <w:pPr>
        <w:tabs>
          <w:tab w:val="num" w:pos="1958"/>
        </w:tabs>
        <w:ind w:left="1958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E46"/>
    <w:rsid w:val="0005486F"/>
    <w:rsid w:val="0009697B"/>
    <w:rsid w:val="000F1F46"/>
    <w:rsid w:val="00150343"/>
    <w:rsid w:val="001635EA"/>
    <w:rsid w:val="00172209"/>
    <w:rsid w:val="00177DCB"/>
    <w:rsid w:val="0018460E"/>
    <w:rsid w:val="001974AB"/>
    <w:rsid w:val="001A4B08"/>
    <w:rsid w:val="00201E46"/>
    <w:rsid w:val="0023765D"/>
    <w:rsid w:val="00247AC3"/>
    <w:rsid w:val="00273668"/>
    <w:rsid w:val="00296040"/>
    <w:rsid w:val="002C44B5"/>
    <w:rsid w:val="0030009C"/>
    <w:rsid w:val="00316B70"/>
    <w:rsid w:val="00334965"/>
    <w:rsid w:val="003365FD"/>
    <w:rsid w:val="00344CF6"/>
    <w:rsid w:val="00362C6F"/>
    <w:rsid w:val="00370F8E"/>
    <w:rsid w:val="003906B2"/>
    <w:rsid w:val="003D1419"/>
    <w:rsid w:val="003F13C2"/>
    <w:rsid w:val="003F1567"/>
    <w:rsid w:val="00434439"/>
    <w:rsid w:val="004528B7"/>
    <w:rsid w:val="00514F72"/>
    <w:rsid w:val="00537188"/>
    <w:rsid w:val="0057446C"/>
    <w:rsid w:val="005B4CC0"/>
    <w:rsid w:val="005D7873"/>
    <w:rsid w:val="00626027"/>
    <w:rsid w:val="00797FAF"/>
    <w:rsid w:val="007B3157"/>
    <w:rsid w:val="00806947"/>
    <w:rsid w:val="0083478A"/>
    <w:rsid w:val="0087702E"/>
    <w:rsid w:val="008829E0"/>
    <w:rsid w:val="008D0C3E"/>
    <w:rsid w:val="008D6226"/>
    <w:rsid w:val="008F7B9F"/>
    <w:rsid w:val="00911C69"/>
    <w:rsid w:val="009F50C9"/>
    <w:rsid w:val="00A101CC"/>
    <w:rsid w:val="00A30FD7"/>
    <w:rsid w:val="00A5748C"/>
    <w:rsid w:val="00AB02D1"/>
    <w:rsid w:val="00AC493C"/>
    <w:rsid w:val="00AD32B0"/>
    <w:rsid w:val="00B2293B"/>
    <w:rsid w:val="00B90155"/>
    <w:rsid w:val="00BA702B"/>
    <w:rsid w:val="00BA7B85"/>
    <w:rsid w:val="00C2437D"/>
    <w:rsid w:val="00C418AE"/>
    <w:rsid w:val="00D11C67"/>
    <w:rsid w:val="00D44AB2"/>
    <w:rsid w:val="00D54DAF"/>
    <w:rsid w:val="00DC51B7"/>
    <w:rsid w:val="00E9022C"/>
    <w:rsid w:val="00EE6475"/>
    <w:rsid w:val="00EF293B"/>
    <w:rsid w:val="00F86C8B"/>
    <w:rsid w:val="00F93722"/>
    <w:rsid w:val="00F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25329F"/>
  <w15:docId w15:val="{81E6E77F-9A30-48A7-B738-232FD202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334965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5D7873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sid w:val="00514F72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Document Map"/>
    <w:basedOn w:val="a"/>
    <w:link w:val="a9"/>
    <w:rsid w:val="003F156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3F1567"/>
    <w:rPr>
      <w:rFonts w:ascii="新細明體" w:hAnsi="新細明體"/>
      <w:kern w:val="2"/>
      <w:szCs w:val="18"/>
    </w:rPr>
  </w:style>
  <w:style w:type="character" w:customStyle="1" w:styleId="20">
    <w:name w:val="標題 2 字元"/>
    <w:link w:val="2"/>
    <w:rsid w:val="005D7873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a">
    <w:name w:val="Balloon Text"/>
    <w:basedOn w:val="a"/>
    <w:link w:val="ab"/>
    <w:rsid w:val="00A3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30FD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344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&#20013;&#33775;&#20154;&#27665;&#20849;&#21644;&#22283;&#22806;&#36039;&#20225;&#26989;&#27861;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6laws.net/6law/law-gb/XXXXX.htm" TargetMode="External"/><Relationship Id="rId17" Type="http://schemas.openxmlformats.org/officeDocument/2006/relationships/hyperlink" Target="https://www.6laws.net/comment.htm" TargetMode="External"/><Relationship Id="rId2" Type="http://schemas.openxmlformats.org/officeDocument/2006/relationships/styles" Target="styles.xml"/><Relationship Id="rId16" Type="http://schemas.openxmlformats.org/officeDocument/2006/relationships/hyperlink" Target="&#20013;&#33775;&#20154;&#27665;&#20849;&#21644;&#22283;&#33274;&#28771;&#21516;&#32990;&#25237;&#36039;&#20445;&#35703;&#27861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S-link&#22823;&#38520;&#27861;&#35215;&#32034;&#24341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&#20013;&#33775;&#20154;&#27665;&#20849;&#21644;&#22283;&#20013;&#22806;&#21512;&#20316;&#32147;&#29151;&#20225;&#26989;&#27861;.docx" TargetMode="External"/><Relationship Id="rId10" Type="http://schemas.openxmlformats.org/officeDocument/2006/relationships/hyperlink" Target="../S-link&#38651;&#23376;&#20845;&#27861;&#32317;&#32034;&#24341;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&#20013;&#33775;&#20154;&#27665;&#20849;&#21644;&#22283;&#20013;&#22806;&#21512;&#36039;&#32147;&#29151;&#20225;&#26989;&#27861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Links>
    <vt:vector size="114" baseType="variant">
      <vt:variant>
        <vt:i4>2949124</vt:i4>
      </vt:variant>
      <vt:variant>
        <vt:i4>54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6357089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a34</vt:lpwstr>
      </vt:variant>
      <vt:variant>
        <vt:i4>6357089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3342433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a35</vt:lpwstr>
      </vt:variant>
      <vt:variant>
        <vt:i4>3276897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a29</vt:lpwstr>
      </vt:variant>
      <vt:variant>
        <vt:i4>3211361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a19</vt:lpwstr>
      </vt:variant>
      <vt:variant>
        <vt:i4>3604577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a7</vt:lpwstr>
      </vt:variant>
      <vt:variant>
        <vt:i4>3211361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-1568714189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http://www.6law.idv.tw/6law/law-gb/醫療器械監督管理條例.htm</vt:lpwstr>
      </vt:variant>
      <vt:variant>
        <vt:lpwstr/>
      </vt:variant>
      <vt:variant>
        <vt:i4>450028212</vt:i4>
      </vt:variant>
      <vt:variant>
        <vt:i4>12</vt:i4>
      </vt:variant>
      <vt:variant>
        <vt:i4>0</vt:i4>
      </vt:variant>
      <vt:variant>
        <vt:i4>5</vt:i4>
      </vt:variant>
      <vt:variant>
        <vt:lpwstr>../S-link大陸法規索引.doc</vt:lpwstr>
      </vt:variant>
      <vt:variant>
        <vt:lpwstr>醫療器械監督管理條例</vt:lpwstr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全國人民代表大會常務委員會關於修改〈中華人民共和國外資企業法〉等四部法律的決定</dc:title>
  <dc:creator>S-link 電子六法-黃婉玲</dc:creator>
  <cp:lastModifiedBy>黃婉玲 S-link電子六法</cp:lastModifiedBy>
  <cp:revision>15</cp:revision>
  <dcterms:created xsi:type="dcterms:W3CDTF">2017-09-30T08:23:00Z</dcterms:created>
  <dcterms:modified xsi:type="dcterms:W3CDTF">2019-10-11T15:26:00Z</dcterms:modified>
</cp:coreProperties>
</file>