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E7770F">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0D4AE2">
        <w:rPr>
          <w:rFonts w:ascii="Arial Unicode MS" w:hAnsi="Arial Unicode MS"/>
          <w:color w:val="7F7F7F"/>
          <w:sz w:val="18"/>
          <w:szCs w:val="20"/>
        </w:rPr>
        <w:t>2016/3/18</w:t>
      </w:r>
      <w:r>
        <w:rPr>
          <w:rFonts w:hint="eastAsia"/>
          <w:color w:val="7F7F7F"/>
          <w:sz w:val="18"/>
          <w:szCs w:val="20"/>
          <w:lang w:val="zh-TW"/>
        </w:rPr>
        <w:t>【</w:t>
      </w:r>
      <w:hyperlink r:id="rId11" w:history="1">
        <w:r w:rsidRPr="000D4AE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05679B"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945"/>
        <w:gridCol w:w="2144"/>
      </w:tblGrid>
      <w:tr w:rsidR="00CF2D69" w:rsidTr="004209C6">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3449" w:type="pct"/>
            <w:tcBorders>
              <w:top w:val="nil"/>
              <w:left w:val="nil"/>
              <w:bottom w:val="nil"/>
              <w:right w:val="nil"/>
            </w:tcBorders>
            <w:shd w:val="clear" w:color="auto" w:fill="F6FCF9"/>
            <w:vAlign w:val="center"/>
          </w:tcPr>
          <w:p w:rsidR="00CF2D69" w:rsidRPr="006434FF" w:rsidRDefault="00376334" w:rsidP="004C53CF">
            <w:pPr>
              <w:jc w:val="center"/>
              <w:rPr>
                <w:rFonts w:ascii="新細明體" w:eastAsia="標楷體" w:hAnsi="新細明體"/>
                <w:bCs/>
                <w:shadow/>
                <w:sz w:val="26"/>
                <w:szCs w:val="26"/>
              </w:rPr>
            </w:pPr>
            <w:r w:rsidRPr="006434FF">
              <w:rPr>
                <w:rFonts w:ascii="新細明體" w:eastAsia="標楷體" w:hAnsi="新細明體" w:hint="eastAsia"/>
                <w:bCs/>
                <w:shadow/>
                <w:sz w:val="26"/>
                <w:szCs w:val="26"/>
              </w:rPr>
              <w:t>不動產經紀業營業保證基金管理委員會組織及基金管理辦法</w:t>
            </w:r>
          </w:p>
        </w:tc>
        <w:tc>
          <w:tcPr>
            <w:tcW w:w="1065"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936744" w:rsidRPr="006434FF">
              <w:rPr>
                <w:rFonts w:ascii="Arial Unicode MS" w:hAnsi="Arial Unicode MS" w:hint="eastAsia"/>
              </w:rPr>
              <w:t>90</w:t>
            </w:r>
            <w:r w:rsidR="00936744">
              <w:rPr>
                <w:rFonts w:ascii="Arial Unicode MS" w:hAnsi="Arial Unicode MS" w:hint="eastAsia"/>
              </w:rPr>
              <w:t>.</w:t>
            </w:r>
            <w:r w:rsidR="00936744" w:rsidRPr="006434FF">
              <w:rPr>
                <w:rFonts w:ascii="Arial Unicode MS" w:hAnsi="Arial Unicode MS" w:hint="eastAsia"/>
              </w:rPr>
              <w:t>06</w:t>
            </w:r>
            <w:r w:rsidR="00936744">
              <w:rPr>
                <w:rFonts w:ascii="Arial Unicode MS" w:hAnsi="Arial Unicode MS" w:hint="eastAsia"/>
              </w:rPr>
              <w:t>.</w:t>
            </w:r>
            <w:r w:rsidR="00936744" w:rsidRPr="006434FF">
              <w:rPr>
                <w:rFonts w:ascii="Arial Unicode MS" w:hAnsi="Arial Unicode MS" w:hint="eastAsia"/>
              </w:rPr>
              <w:t>12</w:t>
            </w:r>
          </w:p>
          <w:p w:rsidR="00CF2D69" w:rsidRDefault="00CF2D69" w:rsidP="00704646">
            <w:r>
              <w:rPr>
                <w:rFonts w:ascii="新細明體" w:hAnsi="新細明體"/>
                <w:color w:val="000000"/>
              </w:rPr>
              <w:t>【公布機關】</w:t>
            </w:r>
            <w:r w:rsidR="006434FF" w:rsidRPr="006434FF">
              <w:rPr>
                <w:rFonts w:ascii="Arial Unicode MS" w:hAnsi="Arial Unicode MS" w:hint="eastAsia"/>
                <w:sz w:val="18"/>
              </w:rPr>
              <w:t>內政部</w:t>
            </w:r>
          </w:p>
        </w:tc>
      </w:tr>
    </w:tbl>
    <w:p w:rsidR="00392D6B" w:rsidRPr="006962E8" w:rsidRDefault="00F54203" w:rsidP="0005679B">
      <w:pPr>
        <w:jc w:val="center"/>
        <w:rPr>
          <w:rFonts w:ascii="新細明體" w:hAnsi="新細明體"/>
          <w:b/>
          <w:bCs/>
          <w:color w:val="800000"/>
        </w:rPr>
      </w:pPr>
      <w:r w:rsidRPr="00BC5C62">
        <w:rPr>
          <w:rFonts w:ascii="Arial Unicode MS" w:hAnsi="Arial Unicode MS" w:hint="eastAsia"/>
          <w:color w:val="FFFFFF"/>
          <w:sz w:val="18"/>
        </w:rPr>
        <w:t>‧</w:t>
      </w:r>
      <w:hyperlink r:id="rId15" w:anchor="不動產經紀業營業保證基金管理委員會組織及基金管理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索引</w:t>
        </w:r>
      </w:hyperlink>
      <w:r w:rsidRPr="00BC5C62">
        <w:rPr>
          <w:rFonts w:ascii="Arial Unicode MS" w:hAnsi="Arial Unicode MS" w:hint="eastAsia"/>
          <w:b/>
          <w:color w:val="5F5F5F"/>
          <w:sz w:val="18"/>
        </w:rPr>
        <w:t>&gt;&gt;</w:t>
      </w:r>
      <w:hyperlink r:id="rId16" w:tgtFrame="_blank" w:history="1">
        <w:r w:rsidRPr="0005679B">
          <w:rPr>
            <w:rStyle w:val="a3"/>
            <w:rFonts w:hint="eastAsia"/>
          </w:rPr>
          <w:t>線上網頁版</w:t>
        </w:r>
      </w:hyperlink>
      <w:r w:rsidRPr="00BC5C62">
        <w:rPr>
          <w:rFonts w:ascii="Arial Unicode MS" w:hAnsi="Arial Unicode MS" w:hint="eastAsia"/>
          <w:b/>
          <w:color w:val="5F5F5F"/>
          <w:sz w:val="18"/>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6434FF" w:rsidRPr="006434FF" w:rsidRDefault="006434FF" w:rsidP="006434FF">
      <w:pPr>
        <w:ind w:left="142"/>
        <w:jc w:val="both"/>
        <w:rPr>
          <w:rFonts w:ascii="Arial Unicode MS" w:hAnsi="Arial Unicode MS"/>
          <w:sz w:val="18"/>
        </w:rPr>
      </w:pPr>
      <w:r w:rsidRPr="006434FF">
        <w:rPr>
          <w:rFonts w:ascii="Arial Unicode MS" w:hAnsi="Arial Unicode MS" w:hint="eastAsia"/>
          <w:b/>
          <w:sz w:val="18"/>
        </w:rPr>
        <w:t>1</w:t>
      </w:r>
      <w:r w:rsidRPr="006434FF">
        <w:rPr>
          <w:rFonts w:ascii="Arial Unicode MS" w:hAnsi="Arial Unicode MS" w:hint="eastAsia"/>
          <w:b/>
          <w:sz w:val="18"/>
        </w:rPr>
        <w:t>‧</w:t>
      </w:r>
      <w:r w:rsidRPr="006434FF">
        <w:rPr>
          <w:rFonts w:ascii="Arial Unicode MS" w:hAnsi="Arial Unicode MS" w:hint="eastAsia"/>
          <w:sz w:val="18"/>
        </w:rPr>
        <w:t>中華民國九十年六月十二日內政部（</w:t>
      </w:r>
      <w:r w:rsidRPr="006434FF">
        <w:rPr>
          <w:rFonts w:ascii="Arial Unicode MS" w:hAnsi="Arial Unicode MS" w:hint="eastAsia"/>
          <w:sz w:val="18"/>
        </w:rPr>
        <w:t>90</w:t>
      </w:r>
      <w:r w:rsidRPr="006434FF">
        <w:rPr>
          <w:rFonts w:ascii="Arial Unicode MS" w:hAnsi="Arial Unicode MS" w:hint="eastAsia"/>
          <w:sz w:val="18"/>
        </w:rPr>
        <w:t>）台內中地字第</w:t>
      </w:r>
      <w:r w:rsidRPr="006434FF">
        <w:rPr>
          <w:rFonts w:ascii="Arial Unicode MS" w:hAnsi="Arial Unicode MS" w:hint="eastAsia"/>
          <w:sz w:val="18"/>
        </w:rPr>
        <w:t>9082322</w:t>
      </w:r>
      <w:r w:rsidRPr="006434FF">
        <w:rPr>
          <w:rFonts w:ascii="Arial Unicode MS" w:hAnsi="Arial Unicode MS" w:hint="eastAsia"/>
          <w:sz w:val="18"/>
        </w:rPr>
        <w:t>號令訂定發布全文</w:t>
      </w:r>
      <w:r w:rsidRPr="006434FF">
        <w:rPr>
          <w:rFonts w:ascii="Arial Unicode MS" w:hAnsi="Arial Unicode MS" w:hint="eastAsia"/>
          <w:sz w:val="18"/>
        </w:rPr>
        <w:t>25</w:t>
      </w:r>
      <w:r w:rsidRPr="006434FF">
        <w:rPr>
          <w:rFonts w:ascii="Arial Unicode MS" w:hAnsi="Arial Unicode MS" w:hint="eastAsia"/>
          <w:sz w:val="18"/>
        </w:rPr>
        <w:t>條；並自發布日起施行</w:t>
      </w:r>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bookmarkStart w:id="1" w:name="a章節索引"/>
      <w:bookmarkEnd w:id="1"/>
      <w:r w:rsidRPr="000B5372">
        <w:rPr>
          <w:color w:val="990000"/>
        </w:rPr>
        <w:t>【</w:t>
      </w:r>
      <w:r w:rsidRPr="000B5372">
        <w:rPr>
          <w:rFonts w:hint="eastAsia"/>
          <w:color w:val="990000"/>
        </w:rPr>
        <w:t>章節索引</w:t>
      </w:r>
      <w:r w:rsidRPr="000B5372">
        <w:rPr>
          <w:color w:val="990000"/>
        </w:rPr>
        <w:t>】</w:t>
      </w:r>
    </w:p>
    <w:p w:rsidR="006434FF" w:rsidRPr="006434FF" w:rsidRDefault="006434FF" w:rsidP="006434FF">
      <w:pPr>
        <w:ind w:left="142"/>
        <w:jc w:val="both"/>
        <w:rPr>
          <w:rFonts w:ascii="Arial Unicode MS" w:hAnsi="Arial Unicode MS"/>
          <w:bCs/>
          <w:color w:val="990000"/>
        </w:rPr>
      </w:pPr>
      <w:r w:rsidRPr="006434FF">
        <w:rPr>
          <w:rFonts w:ascii="Arial Unicode MS" w:hAnsi="Arial Unicode MS" w:hint="eastAsia"/>
          <w:bCs/>
          <w:color w:val="990000"/>
        </w:rPr>
        <w:t xml:space="preserve">第一章　</w:t>
      </w:r>
      <w:hyperlink w:anchor="_第一章__總" w:history="1">
        <w:r w:rsidRPr="00936744">
          <w:rPr>
            <w:rStyle w:val="a3"/>
            <w:rFonts w:ascii="Arial Unicode MS" w:hAnsi="Arial Unicode MS" w:hint="eastAsia"/>
            <w:bCs/>
          </w:rPr>
          <w:t>總則</w:t>
        </w:r>
      </w:hyperlink>
      <w:r w:rsidRPr="006434FF">
        <w:rPr>
          <w:rFonts w:ascii="Arial Unicode MS" w:hAnsi="Arial Unicode MS" w:hint="eastAsia"/>
          <w:bCs/>
          <w:color w:val="990000"/>
        </w:rPr>
        <w:t xml:space="preserve">　§</w:t>
      </w:r>
      <w:r w:rsidRPr="006434FF">
        <w:rPr>
          <w:rFonts w:ascii="Arial Unicode MS" w:hAnsi="Arial Unicode MS" w:hint="eastAsia"/>
          <w:bCs/>
          <w:color w:val="990000"/>
        </w:rPr>
        <w:t>1</w:t>
      </w:r>
    </w:p>
    <w:p w:rsidR="006434FF" w:rsidRPr="006434FF" w:rsidRDefault="006434FF" w:rsidP="006434FF">
      <w:pPr>
        <w:ind w:left="142"/>
        <w:jc w:val="both"/>
        <w:rPr>
          <w:rFonts w:ascii="Arial Unicode MS" w:hAnsi="Arial Unicode MS"/>
          <w:bCs/>
          <w:color w:val="990000"/>
        </w:rPr>
      </w:pPr>
      <w:r w:rsidRPr="006434FF">
        <w:rPr>
          <w:rFonts w:ascii="Arial Unicode MS" w:hAnsi="Arial Unicode MS" w:hint="eastAsia"/>
          <w:bCs/>
          <w:color w:val="990000"/>
        </w:rPr>
        <w:t xml:space="preserve">第二章　</w:t>
      </w:r>
      <w:hyperlink w:anchor="_第二章__組" w:history="1">
        <w:r w:rsidRPr="00936744">
          <w:rPr>
            <w:rStyle w:val="a3"/>
            <w:rFonts w:ascii="Arial Unicode MS" w:hAnsi="Arial Unicode MS" w:hint="eastAsia"/>
            <w:bCs/>
          </w:rPr>
          <w:t>組織</w:t>
        </w:r>
      </w:hyperlink>
      <w:r w:rsidRPr="006434FF">
        <w:rPr>
          <w:rFonts w:ascii="Arial Unicode MS" w:hAnsi="Arial Unicode MS" w:hint="eastAsia"/>
          <w:bCs/>
          <w:color w:val="990000"/>
        </w:rPr>
        <w:t xml:space="preserve">　§</w:t>
      </w:r>
      <w:r w:rsidRPr="006434FF">
        <w:rPr>
          <w:rFonts w:ascii="Arial Unicode MS" w:hAnsi="Arial Unicode MS" w:hint="eastAsia"/>
          <w:bCs/>
          <w:color w:val="990000"/>
        </w:rPr>
        <w:t>5</w:t>
      </w:r>
      <w:bookmarkStart w:id="2" w:name="_GoBack"/>
      <w:bookmarkEnd w:id="2"/>
    </w:p>
    <w:p w:rsidR="006434FF" w:rsidRPr="006434FF" w:rsidRDefault="006434FF" w:rsidP="006434FF">
      <w:pPr>
        <w:ind w:left="142"/>
        <w:jc w:val="both"/>
        <w:rPr>
          <w:rFonts w:ascii="Arial Unicode MS" w:hAnsi="Arial Unicode MS"/>
          <w:bCs/>
          <w:color w:val="990000"/>
        </w:rPr>
      </w:pPr>
      <w:r w:rsidRPr="006434FF">
        <w:rPr>
          <w:rFonts w:ascii="Arial Unicode MS" w:hAnsi="Arial Unicode MS" w:hint="eastAsia"/>
          <w:bCs/>
          <w:color w:val="990000"/>
        </w:rPr>
        <w:t xml:space="preserve">第三章　</w:t>
      </w:r>
      <w:hyperlink w:anchor="_第三章__管" w:history="1">
        <w:r w:rsidRPr="00936744">
          <w:rPr>
            <w:rStyle w:val="a3"/>
            <w:rFonts w:ascii="Arial Unicode MS" w:hAnsi="Arial Unicode MS" w:hint="eastAsia"/>
            <w:bCs/>
          </w:rPr>
          <w:t>管理</w:t>
        </w:r>
      </w:hyperlink>
      <w:r w:rsidRPr="006434FF">
        <w:rPr>
          <w:rFonts w:ascii="Arial Unicode MS" w:hAnsi="Arial Unicode MS" w:hint="eastAsia"/>
          <w:bCs/>
          <w:color w:val="990000"/>
        </w:rPr>
        <w:t xml:space="preserve">　§</w:t>
      </w:r>
      <w:r w:rsidRPr="006434FF">
        <w:rPr>
          <w:rFonts w:ascii="Arial Unicode MS" w:hAnsi="Arial Unicode MS" w:hint="eastAsia"/>
          <w:bCs/>
          <w:color w:val="990000"/>
        </w:rPr>
        <w:t>16</w:t>
      </w:r>
    </w:p>
    <w:p w:rsidR="000813C3" w:rsidRDefault="006434FF" w:rsidP="00936744">
      <w:pPr>
        <w:ind w:left="142"/>
        <w:jc w:val="both"/>
        <w:rPr>
          <w:rFonts w:ascii="新細明體" w:hAnsi="新細明體"/>
          <w:color w:val="808000"/>
          <w:sz w:val="18"/>
        </w:rPr>
      </w:pPr>
      <w:r w:rsidRPr="006434FF">
        <w:rPr>
          <w:rFonts w:ascii="Arial Unicode MS" w:hAnsi="Arial Unicode MS" w:hint="eastAsia"/>
          <w:bCs/>
          <w:color w:val="990000"/>
        </w:rPr>
        <w:t xml:space="preserve">第四章　</w:t>
      </w:r>
      <w:hyperlink w:anchor="_第四章__附" w:history="1">
        <w:r w:rsidRPr="00936744">
          <w:rPr>
            <w:rStyle w:val="a3"/>
            <w:rFonts w:ascii="Arial Unicode MS" w:hAnsi="Arial Unicode MS" w:hint="eastAsia"/>
            <w:bCs/>
          </w:rPr>
          <w:t>附則</w:t>
        </w:r>
      </w:hyperlink>
      <w:r w:rsidRPr="006434FF">
        <w:rPr>
          <w:rFonts w:ascii="Arial Unicode MS" w:hAnsi="Arial Unicode MS" w:hint="eastAsia"/>
          <w:bCs/>
          <w:color w:val="990000"/>
        </w:rPr>
        <w:t xml:space="preserve">　§</w:t>
      </w:r>
      <w:r w:rsidRPr="006434FF">
        <w:rPr>
          <w:rFonts w:ascii="Arial Unicode MS" w:hAnsi="Arial Unicode MS" w:hint="eastAsia"/>
          <w:bCs/>
          <w:color w:val="990000"/>
        </w:rPr>
        <w:t>24</w:t>
      </w:r>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0B5372" w:rsidRPr="000B5372" w:rsidRDefault="000B5372" w:rsidP="000B5372">
      <w:pPr>
        <w:pStyle w:val="1"/>
      </w:pPr>
      <w:bookmarkStart w:id="3" w:name="_第一章__總"/>
      <w:bookmarkEnd w:id="3"/>
      <w:r w:rsidRPr="000B5372">
        <w:rPr>
          <w:rFonts w:hint="eastAsia"/>
        </w:rPr>
        <w:t>第一章　　總　則</w:t>
      </w:r>
    </w:p>
    <w:p w:rsidR="006434FF" w:rsidRPr="006434FF" w:rsidRDefault="006434FF" w:rsidP="00936744">
      <w:pPr>
        <w:pStyle w:val="2"/>
      </w:pPr>
      <w:r w:rsidRPr="006434FF">
        <w:rPr>
          <w:rFonts w:hint="eastAsia"/>
        </w:rPr>
        <w:t>第</w:t>
      </w:r>
      <w:r w:rsidRPr="006434FF">
        <w:rPr>
          <w:rFonts w:hint="eastAsia"/>
        </w:rPr>
        <w:t>1</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本辦法依不動產經紀業管理條例</w:t>
      </w:r>
      <w:r>
        <w:rPr>
          <w:rFonts w:ascii="Arial Unicode MS" w:hAnsi="Arial Unicode MS" w:hint="eastAsia"/>
        </w:rPr>
        <w:t>（</w:t>
      </w:r>
      <w:r w:rsidRPr="006434FF">
        <w:rPr>
          <w:rFonts w:ascii="Arial Unicode MS" w:hAnsi="Arial Unicode MS" w:hint="eastAsia"/>
        </w:rPr>
        <w:t>以下簡稱本條例</w:t>
      </w:r>
      <w:r>
        <w:rPr>
          <w:rFonts w:ascii="Arial Unicode MS" w:hAnsi="Arial Unicode MS" w:hint="eastAsia"/>
        </w:rPr>
        <w:t>）</w:t>
      </w:r>
      <w:hyperlink r:id="rId17" w:anchor="a8" w:history="1">
        <w:r w:rsidRPr="00DD58A0">
          <w:rPr>
            <w:rStyle w:val="a3"/>
            <w:rFonts w:ascii="Arial Unicode MS" w:hAnsi="Arial Unicode MS" w:hint="eastAsia"/>
          </w:rPr>
          <w:t>第八條</w:t>
        </w:r>
      </w:hyperlink>
      <w:r w:rsidRPr="006434FF">
        <w:rPr>
          <w:rFonts w:ascii="Arial Unicode MS" w:hAnsi="Arial Unicode MS" w:hint="eastAsia"/>
        </w:rPr>
        <w:t>第二項規定訂定之。</w:t>
      </w:r>
    </w:p>
    <w:p w:rsidR="006434FF" w:rsidRPr="006434FF" w:rsidRDefault="006434FF" w:rsidP="006434FF">
      <w:pPr>
        <w:pStyle w:val="2"/>
      </w:pPr>
      <w:r w:rsidRPr="006434FF">
        <w:rPr>
          <w:rFonts w:hint="eastAsia"/>
        </w:rPr>
        <w:t>第</w:t>
      </w:r>
      <w:r w:rsidRPr="006434FF">
        <w:rPr>
          <w:rFonts w:hint="eastAsia"/>
        </w:rPr>
        <w:t>2</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中華民國不動產仲介經紀業同業公會全國聯合會</w:t>
      </w:r>
      <w:r>
        <w:rPr>
          <w:rFonts w:ascii="Arial Unicode MS" w:hAnsi="Arial Unicode MS" w:hint="eastAsia"/>
        </w:rPr>
        <w:t>（</w:t>
      </w:r>
      <w:r w:rsidRPr="006434FF">
        <w:rPr>
          <w:rFonts w:ascii="Arial Unicode MS" w:hAnsi="Arial Unicode MS" w:hint="eastAsia"/>
        </w:rPr>
        <w:t>以下簡稱仲介業全聯會</w:t>
      </w:r>
      <w:r>
        <w:rPr>
          <w:rFonts w:ascii="Arial Unicode MS" w:hAnsi="Arial Unicode MS" w:hint="eastAsia"/>
        </w:rPr>
        <w:t>）</w:t>
      </w:r>
      <w:r w:rsidRPr="006434FF">
        <w:rPr>
          <w:rFonts w:ascii="Arial Unicode MS" w:hAnsi="Arial Unicode MS" w:hint="eastAsia"/>
        </w:rPr>
        <w:t>及中華民國不動產代銷經紀業同業公會全國聯合會</w:t>
      </w:r>
      <w:r>
        <w:rPr>
          <w:rFonts w:ascii="Arial Unicode MS" w:hAnsi="Arial Unicode MS" w:hint="eastAsia"/>
        </w:rPr>
        <w:t>（</w:t>
      </w:r>
      <w:r w:rsidRPr="006434FF">
        <w:rPr>
          <w:rFonts w:ascii="Arial Unicode MS" w:hAnsi="Arial Unicode MS" w:hint="eastAsia"/>
        </w:rPr>
        <w:t>以下簡稱代銷業全聯會</w:t>
      </w:r>
      <w:r>
        <w:rPr>
          <w:rFonts w:ascii="Arial Unicode MS" w:hAnsi="Arial Unicode MS" w:hint="eastAsia"/>
        </w:rPr>
        <w:t>）</w:t>
      </w:r>
      <w:r w:rsidRPr="006434FF">
        <w:rPr>
          <w:rFonts w:ascii="Arial Unicode MS" w:hAnsi="Arial Unicode MS" w:hint="eastAsia"/>
        </w:rPr>
        <w:t>應依本條例</w:t>
      </w:r>
      <w:hyperlink r:id="rId18" w:anchor="a8" w:history="1">
        <w:r w:rsidR="00DD58A0" w:rsidRPr="00DD58A0">
          <w:rPr>
            <w:rStyle w:val="a3"/>
            <w:rFonts w:ascii="Arial Unicode MS" w:hAnsi="Arial Unicode MS" w:hint="eastAsia"/>
          </w:rPr>
          <w:t>第八條</w:t>
        </w:r>
      </w:hyperlink>
      <w:r w:rsidRPr="006434FF">
        <w:rPr>
          <w:rFonts w:ascii="Arial Unicode MS" w:hAnsi="Arial Unicode MS" w:hint="eastAsia"/>
        </w:rPr>
        <w:t>第一項規定，分別組成中華民國不動產仲介經紀業營業保證基金管理委員會及中華民國不動產代銷經紀業營業保證基金管理委員會，負責保管營業保證基金。</w:t>
      </w:r>
    </w:p>
    <w:p w:rsidR="006434FF" w:rsidRPr="006434FF" w:rsidRDefault="006434FF" w:rsidP="006434FF">
      <w:pPr>
        <w:pStyle w:val="2"/>
      </w:pPr>
      <w:r w:rsidRPr="006434FF">
        <w:rPr>
          <w:rFonts w:hint="eastAsia"/>
        </w:rPr>
        <w:t>第</w:t>
      </w:r>
      <w:r w:rsidRPr="006434FF">
        <w:rPr>
          <w:rFonts w:hint="eastAsia"/>
        </w:rPr>
        <w:t>3</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仲介業全聯會及代銷業全聯會應於內政部指定之金融機構開設專戶，戶名分別為中華民國不動產仲介經紀業營業保證基金及中華民國不動產代銷經紀業營業保證基金，儲存經紀業所繳存之營業保證金。</w:t>
      </w:r>
    </w:p>
    <w:p w:rsidR="006434FF" w:rsidRPr="006434FF" w:rsidRDefault="006434FF" w:rsidP="006434FF">
      <w:pPr>
        <w:pStyle w:val="2"/>
      </w:pPr>
      <w:r w:rsidRPr="006434FF">
        <w:rPr>
          <w:rFonts w:hint="eastAsia"/>
        </w:rPr>
        <w:t>第</w:t>
      </w:r>
      <w:r w:rsidRPr="006434FF">
        <w:rPr>
          <w:rFonts w:hint="eastAsia"/>
        </w:rPr>
        <w:t>4</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中華民國不動產仲介經紀業營業保證基金管理委員會及中華民國不動產代銷經紀業營業保證基金管理委員會</w:t>
      </w:r>
      <w:r>
        <w:rPr>
          <w:rFonts w:ascii="Arial Unicode MS" w:hAnsi="Arial Unicode MS" w:hint="eastAsia"/>
        </w:rPr>
        <w:t>（</w:t>
      </w:r>
      <w:r w:rsidRPr="006434FF">
        <w:rPr>
          <w:rFonts w:ascii="Arial Unicode MS" w:hAnsi="Arial Unicode MS" w:hint="eastAsia"/>
        </w:rPr>
        <w:t>以下均簡稱為本會</w:t>
      </w:r>
      <w:r>
        <w:rPr>
          <w:rFonts w:ascii="Arial Unicode MS" w:hAnsi="Arial Unicode MS" w:hint="eastAsia"/>
        </w:rPr>
        <w:t>）</w:t>
      </w:r>
      <w:r w:rsidRPr="006434FF">
        <w:rPr>
          <w:rFonts w:ascii="Arial Unicode MS" w:hAnsi="Arial Unicode MS" w:hint="eastAsia"/>
        </w:rPr>
        <w:t>之職掌如下：</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一、關於營業保證基金</w:t>
      </w:r>
      <w:r>
        <w:rPr>
          <w:rFonts w:ascii="Arial Unicode MS" w:hAnsi="Arial Unicode MS" w:hint="eastAsia"/>
        </w:rPr>
        <w:t>（</w:t>
      </w:r>
      <w:r w:rsidRPr="006434FF">
        <w:rPr>
          <w:rFonts w:ascii="Arial Unicode MS" w:hAnsi="Arial Unicode MS" w:hint="eastAsia"/>
        </w:rPr>
        <w:t>以下簡稱本基金</w:t>
      </w:r>
      <w:r>
        <w:rPr>
          <w:rFonts w:ascii="Arial Unicode MS" w:hAnsi="Arial Unicode MS" w:hint="eastAsia"/>
        </w:rPr>
        <w:t>）</w:t>
      </w:r>
      <w:r w:rsidRPr="006434FF">
        <w:rPr>
          <w:rFonts w:ascii="Arial Unicode MS" w:hAnsi="Arial Unicode MS" w:hint="eastAsia"/>
        </w:rPr>
        <w:t>與其孳息之收支、保管及運用。</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二、營業保證金保證函之保管及處理。</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三、受害人請求代為賠償案件之調處事宜。</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四、營業保證金補繳之執行。</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五、營業保證金退還之執行。</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六、本基金管理經費之審議。</w:t>
      </w:r>
    </w:p>
    <w:p w:rsidR="006434FF" w:rsidRDefault="006434FF" w:rsidP="006434FF">
      <w:pPr>
        <w:ind w:left="142"/>
        <w:jc w:val="both"/>
        <w:rPr>
          <w:rFonts w:ascii="Arial Unicode MS" w:hAnsi="Arial Unicode MS"/>
        </w:rPr>
      </w:pPr>
      <w:r w:rsidRPr="006434FF">
        <w:rPr>
          <w:rFonts w:ascii="Arial Unicode MS" w:hAnsi="Arial Unicode MS" w:hint="eastAsia"/>
        </w:rPr>
        <w:t xml:space="preserve">　　七、其他經內政部指定辦理之事項。</w:t>
      </w:r>
    </w:p>
    <w:p w:rsidR="006434FF" w:rsidRPr="006434FF" w:rsidRDefault="006434FF" w:rsidP="006434FF">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6434FF" w:rsidRPr="006434FF" w:rsidRDefault="006434FF" w:rsidP="006434FF">
      <w:pPr>
        <w:pStyle w:val="1"/>
      </w:pPr>
      <w:bookmarkStart w:id="4" w:name="_第二章__組"/>
      <w:bookmarkEnd w:id="4"/>
      <w:r w:rsidRPr="006434FF">
        <w:rPr>
          <w:rFonts w:hint="eastAsia"/>
        </w:rPr>
        <w:lastRenderedPageBreak/>
        <w:t>第二章</w:t>
      </w:r>
      <w:r>
        <w:rPr>
          <w:rFonts w:hint="eastAsia"/>
        </w:rPr>
        <w:t xml:space="preserve">　　</w:t>
      </w:r>
      <w:r w:rsidRPr="006434FF">
        <w:rPr>
          <w:rFonts w:hint="eastAsia"/>
        </w:rPr>
        <w:t>組</w:t>
      </w:r>
      <w:r>
        <w:rPr>
          <w:rFonts w:hint="eastAsia"/>
        </w:rPr>
        <w:t xml:space="preserve">　</w:t>
      </w:r>
      <w:r w:rsidRPr="006434FF">
        <w:rPr>
          <w:rFonts w:hint="eastAsia"/>
        </w:rPr>
        <w:t>織</w:t>
      </w:r>
    </w:p>
    <w:p w:rsidR="006434FF" w:rsidRPr="006434FF" w:rsidRDefault="006434FF" w:rsidP="006434FF">
      <w:pPr>
        <w:pStyle w:val="2"/>
      </w:pPr>
      <w:bookmarkStart w:id="5" w:name="a5"/>
      <w:bookmarkEnd w:id="5"/>
      <w:r w:rsidRPr="006434FF">
        <w:rPr>
          <w:rFonts w:hint="eastAsia"/>
        </w:rPr>
        <w:t>第</w:t>
      </w:r>
      <w:r w:rsidRPr="006434FF">
        <w:rPr>
          <w:rFonts w:hint="eastAsia"/>
        </w:rPr>
        <w:t>5</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本會置委員十一人至十五人，就下列人員聘任之，其中一人為主任委員，由委員互選之：</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一、經紀業代表四人至六人。</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二、專家學者三人。</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三、消費者保護團體代表二人至三人。</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四、中華民國律師公會全國聯合會代表二人至三人。</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前項委員分別由仲介業全聯會、代銷業全聯會提理事會決議後聘任之。</w:t>
      </w:r>
    </w:p>
    <w:p w:rsidR="006434FF" w:rsidRPr="006434FF" w:rsidRDefault="006434FF" w:rsidP="00936744">
      <w:pPr>
        <w:pStyle w:val="2"/>
      </w:pPr>
      <w:r w:rsidRPr="006434FF">
        <w:rPr>
          <w:rFonts w:hint="eastAsia"/>
        </w:rPr>
        <w:t>第</w:t>
      </w:r>
      <w:r w:rsidRPr="006434FF">
        <w:rPr>
          <w:rFonts w:hint="eastAsia"/>
        </w:rPr>
        <w:t>6</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本會置執行長、副執行長各一人，由主任委員提報本會通過後聘任之；承主任委員之命，執行本會決議事項及處理日常事務。</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本會必要時得置工作人員若干人，由執行長提報本會通過後聘任之，辦理會務。</w:t>
      </w:r>
    </w:p>
    <w:p w:rsidR="006434FF" w:rsidRPr="006434FF" w:rsidRDefault="006434FF" w:rsidP="00936744">
      <w:pPr>
        <w:pStyle w:val="2"/>
      </w:pPr>
      <w:r w:rsidRPr="006434FF">
        <w:rPr>
          <w:rFonts w:hint="eastAsia"/>
        </w:rPr>
        <w:t>第</w:t>
      </w:r>
      <w:r w:rsidRPr="006434FF">
        <w:rPr>
          <w:rFonts w:hint="eastAsia"/>
        </w:rPr>
        <w:t>7</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本會委員及監察人均為無給職。但得發給出席費或交通費。</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本會執行長、副執行長及工作人員得支給薪資。</w:t>
      </w:r>
    </w:p>
    <w:p w:rsidR="006434FF" w:rsidRPr="006434FF" w:rsidRDefault="006434FF" w:rsidP="00936744">
      <w:pPr>
        <w:pStyle w:val="2"/>
      </w:pPr>
      <w:r w:rsidRPr="006434FF">
        <w:rPr>
          <w:rFonts w:hint="eastAsia"/>
        </w:rPr>
        <w:t>第</w:t>
      </w:r>
      <w:r w:rsidRPr="006434FF">
        <w:rPr>
          <w:rFonts w:hint="eastAsia"/>
        </w:rPr>
        <w:t>8</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本會會議由主任委員召集，並為會議主席；主任委員因故不能出席或有</w:t>
      </w:r>
      <w:hyperlink w:anchor="a10" w:history="1">
        <w:r w:rsidRPr="00935B37">
          <w:rPr>
            <w:rStyle w:val="a3"/>
            <w:rFonts w:ascii="Arial Unicode MS" w:hAnsi="Arial Unicode MS" w:hint="eastAsia"/>
          </w:rPr>
          <w:t>第十條</w:t>
        </w:r>
      </w:hyperlink>
      <w:r w:rsidRPr="006434FF">
        <w:rPr>
          <w:rFonts w:ascii="Arial Unicode MS" w:hAnsi="Arial Unicode MS" w:hint="eastAsia"/>
        </w:rPr>
        <w:t>規定應自行迴避之情形時，由委員互推一人代理之。</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本會第一次會議或主任委員因故不能召集會議時，由仲介業全聯會及代銷業全聯會理事長召集之。</w:t>
      </w:r>
    </w:p>
    <w:p w:rsidR="006434FF" w:rsidRPr="006434FF" w:rsidRDefault="006434FF" w:rsidP="00936744">
      <w:pPr>
        <w:pStyle w:val="2"/>
      </w:pPr>
      <w:r w:rsidRPr="006434FF">
        <w:rPr>
          <w:rFonts w:hint="eastAsia"/>
        </w:rPr>
        <w:t>第</w:t>
      </w:r>
      <w:r w:rsidRPr="006434FF">
        <w:rPr>
          <w:rFonts w:hint="eastAsia"/>
        </w:rPr>
        <w:t>9</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本會開會應有委員三分之二以上之出席；決議事項應有出席委員二分之一以上之同意。</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委員應親自出席前項會議，因故不能出席時，應先請假，不得委託代表出席；未事先請假者，視為無故缺席。</w:t>
      </w:r>
    </w:p>
    <w:p w:rsidR="006434FF" w:rsidRPr="006434FF" w:rsidRDefault="006434FF" w:rsidP="00936744">
      <w:pPr>
        <w:pStyle w:val="2"/>
      </w:pPr>
      <w:bookmarkStart w:id="6" w:name="a10"/>
      <w:bookmarkEnd w:id="6"/>
      <w:r w:rsidRPr="006434FF">
        <w:rPr>
          <w:rFonts w:hint="eastAsia"/>
        </w:rPr>
        <w:t>第</w:t>
      </w:r>
      <w:r w:rsidRPr="006434FF">
        <w:rPr>
          <w:rFonts w:hint="eastAsia"/>
        </w:rPr>
        <w:t>10</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本會委員對具有利害關係之調處案，應自行迴避。</w:t>
      </w:r>
    </w:p>
    <w:p w:rsidR="006434FF" w:rsidRPr="006434FF" w:rsidRDefault="006434FF" w:rsidP="00936744">
      <w:pPr>
        <w:pStyle w:val="2"/>
      </w:pPr>
      <w:r w:rsidRPr="006434FF">
        <w:rPr>
          <w:rFonts w:hint="eastAsia"/>
        </w:rPr>
        <w:t>第</w:t>
      </w:r>
      <w:r w:rsidRPr="006434FF">
        <w:rPr>
          <w:rFonts w:hint="eastAsia"/>
        </w:rPr>
        <w:t>11</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本會之調處，應依下列規定辦理：</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一、本會受理調處案件應於受理日起二十日內開會討論之。</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二、調處會議應邀請當事人及相關人士列席說明或提供書面資料。</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三、當事人無正當理由，於調處日期不到場者，視為調處不成立。</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四、調處決議應於決定後十五日內通知當事人。</w:t>
      </w:r>
    </w:p>
    <w:p w:rsidR="006434FF" w:rsidRPr="006434FF" w:rsidRDefault="006434FF" w:rsidP="00936744">
      <w:pPr>
        <w:pStyle w:val="2"/>
      </w:pPr>
      <w:bookmarkStart w:id="7" w:name="a12"/>
      <w:bookmarkEnd w:id="7"/>
      <w:r w:rsidRPr="006434FF">
        <w:rPr>
          <w:rFonts w:hint="eastAsia"/>
        </w:rPr>
        <w:t>第</w:t>
      </w:r>
      <w:r w:rsidRPr="006434FF">
        <w:rPr>
          <w:rFonts w:hint="eastAsia"/>
        </w:rPr>
        <w:t>12</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本會設監察小組，置監察人三人，就下列人員聘任之，其中一人為召集人，由監察人互選之：</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一、經紀業代表一人。</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二、專家學者一人。</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三、中華民國會計師公會全國聯合會代表一人。</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lastRenderedPageBreak/>
        <w:t xml:space="preserve">　　前項人員分別由仲介業全聯會、代銷業全聯會提理事會決議後聘任之。</w:t>
      </w:r>
    </w:p>
    <w:p w:rsidR="006434FF" w:rsidRPr="006434FF" w:rsidRDefault="006434FF" w:rsidP="00936744">
      <w:pPr>
        <w:pStyle w:val="2"/>
      </w:pPr>
      <w:r w:rsidRPr="006434FF">
        <w:rPr>
          <w:rFonts w:hint="eastAsia"/>
        </w:rPr>
        <w:t>第</w:t>
      </w:r>
      <w:r w:rsidRPr="006434FF">
        <w:rPr>
          <w:rFonts w:hint="eastAsia"/>
        </w:rPr>
        <w:t>13</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監察小組之職權如下：</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一、審查基金收支結算表。</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二、查核本會基金收支狀況，並得要求提出相關文件、簿冊以利查核。</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三、查核本會有無違法或不當之決議。</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除前項第一款之結算表應經監察人二人以上之審查同意外，其他事項監察人均得獨立行使。</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第一項第一款、第二款之查核，得委任律師或會計師代為辦理，其費用由本會支付。</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監察小組執行第一項職權時，如發現有違法或不當情事者，應送請仲介業全聯會或代銷業全聯會處理。</w:t>
      </w:r>
    </w:p>
    <w:p w:rsidR="006434FF" w:rsidRPr="006434FF" w:rsidRDefault="006434FF" w:rsidP="00936744">
      <w:pPr>
        <w:pStyle w:val="2"/>
      </w:pPr>
      <w:r w:rsidRPr="006434FF">
        <w:rPr>
          <w:rFonts w:hint="eastAsia"/>
        </w:rPr>
        <w:t>第</w:t>
      </w:r>
      <w:r w:rsidRPr="006434FF">
        <w:rPr>
          <w:rFonts w:hint="eastAsia"/>
        </w:rPr>
        <w:t>14</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本會委員及監察人任期三年，期滿得續聘之，續聘以二次為限。但代表團體出任者，應隨其職務進退。</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前項委員或監察人出缺時，本會應予補聘；補聘委員或監察人之任期至原委員或監察人任期屆滿之日為止。</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前二項委員或監察人之續聘、補聘分別依</w:t>
      </w:r>
      <w:hyperlink w:anchor="a5" w:history="1">
        <w:r w:rsidRPr="00935B37">
          <w:rPr>
            <w:rStyle w:val="a3"/>
            <w:rFonts w:ascii="Arial Unicode MS" w:hAnsi="Arial Unicode MS" w:hint="eastAsia"/>
          </w:rPr>
          <w:t>第五條</w:t>
        </w:r>
      </w:hyperlink>
      <w:r w:rsidRPr="006434FF">
        <w:rPr>
          <w:rFonts w:ascii="Arial Unicode MS" w:hAnsi="Arial Unicode MS" w:hint="eastAsia"/>
        </w:rPr>
        <w:t>第二項及第</w:t>
      </w:r>
      <w:hyperlink w:anchor="a12" w:history="1">
        <w:r w:rsidRPr="00935B37">
          <w:rPr>
            <w:rStyle w:val="a3"/>
            <w:rFonts w:ascii="Arial Unicode MS" w:hAnsi="Arial Unicode MS" w:hint="eastAsia"/>
          </w:rPr>
          <w:t>十二</w:t>
        </w:r>
      </w:hyperlink>
      <w:r w:rsidRPr="006434FF">
        <w:rPr>
          <w:rFonts w:ascii="Arial Unicode MS" w:hAnsi="Arial Unicode MS" w:hint="eastAsia"/>
        </w:rPr>
        <w:t>條第二項之程序辦理。</w:t>
      </w:r>
    </w:p>
    <w:p w:rsidR="006434FF" w:rsidRPr="006434FF" w:rsidRDefault="006434FF" w:rsidP="00936744">
      <w:pPr>
        <w:pStyle w:val="2"/>
      </w:pPr>
      <w:r w:rsidRPr="006434FF">
        <w:rPr>
          <w:rFonts w:hint="eastAsia"/>
        </w:rPr>
        <w:t>第</w:t>
      </w:r>
      <w:r w:rsidRPr="006434FF">
        <w:rPr>
          <w:rFonts w:hint="eastAsia"/>
        </w:rPr>
        <w:t>15</w:t>
      </w:r>
      <w:r w:rsidRPr="006434FF">
        <w:rPr>
          <w:rFonts w:hint="eastAsia"/>
        </w:rPr>
        <w:t>條</w:t>
      </w:r>
    </w:p>
    <w:p w:rsidR="006434FF" w:rsidRDefault="006434FF" w:rsidP="006434FF">
      <w:pPr>
        <w:ind w:left="142"/>
        <w:jc w:val="both"/>
        <w:rPr>
          <w:rFonts w:ascii="Arial Unicode MS" w:hAnsi="Arial Unicode MS"/>
        </w:rPr>
      </w:pPr>
      <w:r w:rsidRPr="006434FF">
        <w:rPr>
          <w:rFonts w:ascii="Arial Unicode MS" w:hAnsi="Arial Unicode MS" w:hint="eastAsia"/>
        </w:rPr>
        <w:t xml:space="preserve">　　本會委員或監察人未經請假致未出席本會會議達三次者，得由本會決議後，予以解職。</w:t>
      </w:r>
    </w:p>
    <w:p w:rsidR="006434FF" w:rsidRPr="006434FF" w:rsidRDefault="00936744" w:rsidP="006434FF">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6434FF" w:rsidRPr="006434FF" w:rsidRDefault="006434FF" w:rsidP="006434FF">
      <w:pPr>
        <w:pStyle w:val="1"/>
      </w:pPr>
      <w:bookmarkStart w:id="8" w:name="_第三章__管"/>
      <w:bookmarkEnd w:id="8"/>
      <w:r w:rsidRPr="006434FF">
        <w:rPr>
          <w:rFonts w:hint="eastAsia"/>
        </w:rPr>
        <w:t>第三章</w:t>
      </w:r>
      <w:r>
        <w:rPr>
          <w:rFonts w:hint="eastAsia"/>
        </w:rPr>
        <w:t xml:space="preserve">　　</w:t>
      </w:r>
      <w:r w:rsidRPr="006434FF">
        <w:rPr>
          <w:rFonts w:hint="eastAsia"/>
        </w:rPr>
        <w:t>管</w:t>
      </w:r>
      <w:r>
        <w:rPr>
          <w:rFonts w:hint="eastAsia"/>
        </w:rPr>
        <w:t xml:space="preserve">　</w:t>
      </w:r>
      <w:r w:rsidRPr="006434FF">
        <w:rPr>
          <w:rFonts w:hint="eastAsia"/>
        </w:rPr>
        <w:t>理</w:t>
      </w:r>
    </w:p>
    <w:p w:rsidR="006434FF" w:rsidRPr="006434FF" w:rsidRDefault="006434FF" w:rsidP="006434FF">
      <w:pPr>
        <w:pStyle w:val="2"/>
      </w:pPr>
      <w:r w:rsidRPr="006434FF">
        <w:rPr>
          <w:rFonts w:hint="eastAsia"/>
        </w:rPr>
        <w:t>第</w:t>
      </w:r>
      <w:r w:rsidRPr="006434FF">
        <w:rPr>
          <w:rFonts w:hint="eastAsia"/>
        </w:rPr>
        <w:t>16</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本基金除依本條例第</w:t>
      </w:r>
      <w:hyperlink r:id="rId19" w:anchor="a26" w:history="1">
        <w:r w:rsidRPr="004209C6">
          <w:rPr>
            <w:rStyle w:val="a3"/>
            <w:rFonts w:ascii="Arial Unicode MS" w:hAnsi="Arial Unicode MS" w:hint="eastAsia"/>
          </w:rPr>
          <w:t>二十六</w:t>
        </w:r>
      </w:hyperlink>
      <w:r w:rsidRPr="006434FF">
        <w:rPr>
          <w:rFonts w:ascii="Arial Unicode MS" w:hAnsi="Arial Unicode MS" w:hint="eastAsia"/>
        </w:rPr>
        <w:t>條第四項規定供代為賠償使用或依本條例</w:t>
      </w:r>
      <w:hyperlink r:id="rId20" w:anchor="a9" w:history="1">
        <w:r w:rsidRPr="004209C6">
          <w:rPr>
            <w:rStyle w:val="a3"/>
            <w:rFonts w:ascii="Arial Unicode MS" w:hAnsi="Arial Unicode MS" w:hint="eastAsia"/>
          </w:rPr>
          <w:t>第九條</w:t>
        </w:r>
      </w:hyperlink>
      <w:r w:rsidRPr="006434FF">
        <w:rPr>
          <w:rFonts w:ascii="Arial Unicode MS" w:hAnsi="Arial Unicode MS" w:hint="eastAsia"/>
        </w:rPr>
        <w:t>第二項規定退還經紀業外，不得動支。</w:t>
      </w:r>
    </w:p>
    <w:p w:rsidR="006434FF" w:rsidRPr="006434FF" w:rsidRDefault="006434FF" w:rsidP="00936744">
      <w:pPr>
        <w:pStyle w:val="2"/>
      </w:pPr>
      <w:r w:rsidRPr="006434FF">
        <w:rPr>
          <w:rFonts w:hint="eastAsia"/>
        </w:rPr>
        <w:t>第</w:t>
      </w:r>
      <w:r w:rsidRPr="006434FF">
        <w:rPr>
          <w:rFonts w:hint="eastAsia"/>
        </w:rPr>
        <w:t>17</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本基金孳息之動支，應編列預算並提經本會審議，其運用範圍如下：</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一、有關健全不動產經紀制度之研究發展等事宜。</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二、本會所需之管理經費。</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前項第二款所稱管理經費如下：</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一、出席費或交通費。</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二、行政工作人員之薪資。</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三、管理及總務之支出。</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四、其他有關必要之支出。</w:t>
      </w:r>
    </w:p>
    <w:p w:rsidR="006434FF" w:rsidRPr="006434FF" w:rsidRDefault="006434FF" w:rsidP="00936744">
      <w:pPr>
        <w:pStyle w:val="2"/>
      </w:pPr>
      <w:r w:rsidRPr="006434FF">
        <w:rPr>
          <w:rFonts w:hint="eastAsia"/>
        </w:rPr>
        <w:t>第</w:t>
      </w:r>
      <w:r w:rsidRPr="006434FF">
        <w:rPr>
          <w:rFonts w:hint="eastAsia"/>
        </w:rPr>
        <w:t>18</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仲介業全聯會或代銷業全聯會應編製下一會計年度之基金孳息運用計畫及預算報表，經本會委員三分之二以上出席，及出席委員二分之一以上同意後，於下一會計年度開始前二個月以前，將該運用計畫及預算報表連同委員會會議紀錄，函報內政部備查。</w:t>
      </w:r>
    </w:p>
    <w:p w:rsidR="006434FF" w:rsidRPr="006434FF" w:rsidRDefault="006434FF" w:rsidP="00936744">
      <w:pPr>
        <w:pStyle w:val="2"/>
      </w:pPr>
      <w:r w:rsidRPr="006434FF">
        <w:rPr>
          <w:rFonts w:hint="eastAsia"/>
        </w:rPr>
        <w:t>第</w:t>
      </w:r>
      <w:r w:rsidRPr="006434FF">
        <w:rPr>
          <w:rFonts w:hint="eastAsia"/>
        </w:rPr>
        <w:t>19</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受害人取得對經紀業或經紀人員之執行名義、經仲裁成立或本會調處經決議支付者，本會應於接獲通知後</w:t>
      </w:r>
      <w:r w:rsidRPr="006434FF">
        <w:rPr>
          <w:rFonts w:ascii="Arial Unicode MS" w:hAnsi="Arial Unicode MS" w:hint="eastAsia"/>
        </w:rPr>
        <w:lastRenderedPageBreak/>
        <w:t>十五日內償付受害人。</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前項支付金額超過經紀業依本條例</w:t>
      </w:r>
      <w:hyperlink r:id="rId21" w:anchor="a7" w:history="1">
        <w:r w:rsidRPr="004209C6">
          <w:rPr>
            <w:rStyle w:val="a3"/>
            <w:rFonts w:ascii="Arial Unicode MS" w:hAnsi="Arial Unicode MS" w:hint="eastAsia"/>
          </w:rPr>
          <w:t>第七條</w:t>
        </w:r>
      </w:hyperlink>
      <w:r w:rsidRPr="00936744">
        <w:rPr>
          <w:rFonts w:ascii="Arial Unicode MS" w:hAnsi="Arial Unicode MS" w:hint="eastAsia"/>
          <w:color w:val="17365D"/>
        </w:rPr>
        <w:t>第三項所應繳存之一定金額者，其超過部分，在經紀業應繳存之營業保證金範圍內，應由本基金先行償付，並由仲介業全聯會或代銷業全聯會立即通知擔保金融機構按保證函所載擔保總額如數撥付至指定基金專戶。</w:t>
      </w:r>
    </w:p>
    <w:p w:rsidR="006434FF" w:rsidRPr="006434FF" w:rsidRDefault="006434FF" w:rsidP="00936744">
      <w:pPr>
        <w:pStyle w:val="2"/>
      </w:pPr>
      <w:r w:rsidRPr="006434FF">
        <w:rPr>
          <w:rFonts w:hint="eastAsia"/>
        </w:rPr>
        <w:t>第</w:t>
      </w:r>
      <w:r w:rsidRPr="006434FF">
        <w:rPr>
          <w:rFonts w:hint="eastAsia"/>
        </w:rPr>
        <w:t>20</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本會對金融機構出具經紀業應繳存營業保證金超過一定金額之保證函，應置專簿登錄並妥為保管。</w:t>
      </w:r>
    </w:p>
    <w:p w:rsidR="006434FF" w:rsidRPr="006434FF" w:rsidRDefault="006434FF" w:rsidP="00936744">
      <w:pPr>
        <w:pStyle w:val="2"/>
      </w:pPr>
      <w:r w:rsidRPr="006434FF">
        <w:rPr>
          <w:rFonts w:hint="eastAsia"/>
        </w:rPr>
        <w:t>第</w:t>
      </w:r>
      <w:r w:rsidRPr="006434FF">
        <w:rPr>
          <w:rFonts w:hint="eastAsia"/>
        </w:rPr>
        <w:t>21</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本會調處決議事項或代為賠償時，以仲介業全聯會或代銷業全聯會名義行之。</w:t>
      </w:r>
    </w:p>
    <w:p w:rsidR="006434FF" w:rsidRPr="006434FF" w:rsidRDefault="006434FF" w:rsidP="00936744">
      <w:pPr>
        <w:pStyle w:val="2"/>
      </w:pPr>
      <w:r w:rsidRPr="006434FF">
        <w:rPr>
          <w:rFonts w:hint="eastAsia"/>
        </w:rPr>
        <w:t>第</w:t>
      </w:r>
      <w:r w:rsidRPr="006434FF">
        <w:rPr>
          <w:rFonts w:hint="eastAsia"/>
        </w:rPr>
        <w:t>22</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仲介業全聯會或代銷業全聯會應於每季</w:t>
      </w:r>
      <w:r>
        <w:rPr>
          <w:rFonts w:ascii="Arial Unicode MS" w:hAnsi="Arial Unicode MS" w:hint="eastAsia"/>
        </w:rPr>
        <w:t>（</w:t>
      </w:r>
      <w:r w:rsidRPr="006434FF">
        <w:rPr>
          <w:rFonts w:ascii="Arial Unicode MS" w:hAnsi="Arial Unicode MS" w:hint="eastAsia"/>
        </w:rPr>
        <w:t>年</w:t>
      </w:r>
      <w:r>
        <w:rPr>
          <w:rFonts w:ascii="Arial Unicode MS" w:hAnsi="Arial Unicode MS" w:hint="eastAsia"/>
        </w:rPr>
        <w:t>）</w:t>
      </w:r>
      <w:r w:rsidRPr="006434FF">
        <w:rPr>
          <w:rFonts w:ascii="Arial Unicode MS" w:hAnsi="Arial Unicode MS" w:hint="eastAsia"/>
        </w:rPr>
        <w:t>結束後二十日內，編列該季</w:t>
      </w:r>
      <w:r>
        <w:rPr>
          <w:rFonts w:ascii="Arial Unicode MS" w:hAnsi="Arial Unicode MS" w:hint="eastAsia"/>
        </w:rPr>
        <w:t>（</w:t>
      </w:r>
      <w:r w:rsidRPr="006434FF">
        <w:rPr>
          <w:rFonts w:ascii="Arial Unicode MS" w:hAnsi="Arial Unicode MS" w:hint="eastAsia"/>
        </w:rPr>
        <w:t>年</w:t>
      </w:r>
      <w:r>
        <w:rPr>
          <w:rFonts w:ascii="Arial Unicode MS" w:hAnsi="Arial Unicode MS" w:hint="eastAsia"/>
        </w:rPr>
        <w:t>）</w:t>
      </w:r>
      <w:r w:rsidRPr="006434FF">
        <w:rPr>
          <w:rFonts w:ascii="Arial Unicode MS" w:hAnsi="Arial Unicode MS" w:hint="eastAsia"/>
        </w:rPr>
        <w:t>基金收支結算表，經本會確認通過後報請內政部備查。</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前項基金收支結算表應經監察小組審查通過。</w:t>
      </w:r>
    </w:p>
    <w:p w:rsidR="006434FF" w:rsidRPr="006434FF" w:rsidRDefault="006434FF" w:rsidP="00936744">
      <w:pPr>
        <w:pStyle w:val="2"/>
      </w:pPr>
      <w:r w:rsidRPr="006434FF">
        <w:rPr>
          <w:rFonts w:hint="eastAsia"/>
        </w:rPr>
        <w:t>第</w:t>
      </w:r>
      <w:r w:rsidRPr="006434FF">
        <w:rPr>
          <w:rFonts w:hint="eastAsia"/>
        </w:rPr>
        <w:t>23</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代銷業全聯會依法設立後，仲介業全聯會應將本會保管之營業保證金，屬於代銷業者繳存部分，提經本會確認無誤後，移轉至代銷業全聯會。但兼營仲介業或代銷業之經紀業者，仲介業全聯會非依其請求，不得將其所繳存營業保證金移轉之。</w:t>
      </w:r>
    </w:p>
    <w:p w:rsidR="006434FF" w:rsidRPr="00936744" w:rsidRDefault="006434FF" w:rsidP="006434FF">
      <w:pPr>
        <w:ind w:left="142"/>
        <w:jc w:val="both"/>
        <w:rPr>
          <w:rFonts w:ascii="Arial Unicode MS" w:hAnsi="Arial Unicode MS"/>
          <w:color w:val="17365D"/>
        </w:rPr>
      </w:pPr>
      <w:r w:rsidRPr="00936744">
        <w:rPr>
          <w:rFonts w:ascii="Arial Unicode MS" w:hAnsi="Arial Unicode MS" w:hint="eastAsia"/>
          <w:color w:val="17365D"/>
        </w:rPr>
        <w:t xml:space="preserve">　　營業保證金經依前項規定移轉後，經紀業原領有營業保證金繳存證明，仍為有效。</w:t>
      </w:r>
    </w:p>
    <w:p w:rsidR="006434FF" w:rsidRPr="006434FF" w:rsidRDefault="006434FF" w:rsidP="006434FF">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6434FF" w:rsidRPr="006434FF" w:rsidRDefault="006434FF" w:rsidP="006434FF">
      <w:pPr>
        <w:pStyle w:val="1"/>
      </w:pPr>
      <w:bookmarkStart w:id="9" w:name="_第四章__附"/>
      <w:bookmarkEnd w:id="9"/>
      <w:r w:rsidRPr="006434FF">
        <w:rPr>
          <w:rFonts w:hint="eastAsia"/>
        </w:rPr>
        <w:t>第四章</w:t>
      </w:r>
      <w:r>
        <w:rPr>
          <w:rFonts w:hint="eastAsia"/>
        </w:rPr>
        <w:t xml:space="preserve">　　</w:t>
      </w:r>
      <w:r w:rsidRPr="006434FF">
        <w:rPr>
          <w:rFonts w:hint="eastAsia"/>
        </w:rPr>
        <w:t>附</w:t>
      </w:r>
      <w:r>
        <w:rPr>
          <w:rFonts w:hint="eastAsia"/>
        </w:rPr>
        <w:t xml:space="preserve">　</w:t>
      </w:r>
      <w:r w:rsidRPr="006434FF">
        <w:rPr>
          <w:rFonts w:hint="eastAsia"/>
        </w:rPr>
        <w:t>則</w:t>
      </w:r>
    </w:p>
    <w:p w:rsidR="006434FF" w:rsidRPr="006434FF" w:rsidRDefault="006434FF" w:rsidP="006434FF">
      <w:pPr>
        <w:pStyle w:val="2"/>
      </w:pPr>
      <w:r w:rsidRPr="006434FF">
        <w:rPr>
          <w:rFonts w:hint="eastAsia"/>
        </w:rPr>
        <w:t>第</w:t>
      </w:r>
      <w:r w:rsidRPr="006434FF">
        <w:rPr>
          <w:rFonts w:hint="eastAsia"/>
        </w:rPr>
        <w:t>24</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本辦法所需書表格式，由內政部定之。</w:t>
      </w:r>
    </w:p>
    <w:p w:rsidR="006434FF" w:rsidRPr="006434FF" w:rsidRDefault="006434FF" w:rsidP="00936744">
      <w:pPr>
        <w:pStyle w:val="2"/>
      </w:pPr>
      <w:r w:rsidRPr="006434FF">
        <w:rPr>
          <w:rFonts w:hint="eastAsia"/>
        </w:rPr>
        <w:t>第</w:t>
      </w:r>
      <w:r w:rsidRPr="006434FF">
        <w:rPr>
          <w:rFonts w:hint="eastAsia"/>
        </w:rPr>
        <w:t>25</w:t>
      </w:r>
      <w:r w:rsidRPr="006434FF">
        <w:rPr>
          <w:rFonts w:hint="eastAsia"/>
        </w:rPr>
        <w:t>條</w:t>
      </w:r>
    </w:p>
    <w:p w:rsidR="006434FF" w:rsidRPr="006434FF" w:rsidRDefault="006434FF" w:rsidP="006434FF">
      <w:pPr>
        <w:ind w:left="142"/>
        <w:jc w:val="both"/>
        <w:rPr>
          <w:rFonts w:ascii="Arial Unicode MS" w:hAnsi="Arial Unicode MS"/>
        </w:rPr>
      </w:pPr>
      <w:r w:rsidRPr="006434FF">
        <w:rPr>
          <w:rFonts w:ascii="Arial Unicode MS" w:hAnsi="Arial Unicode MS" w:hint="eastAsia"/>
        </w:rPr>
        <w:t xml:space="preserve">　　本辦法自發布日施行。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0D4AE2" w:rsidRPr="00E5474F" w:rsidRDefault="000D4AE2" w:rsidP="000D4AE2">
      <w:pPr>
        <w:ind w:left="142"/>
        <w:jc w:val="right"/>
        <w:rPr>
          <w:rStyle w:val="a3"/>
          <w:rFonts w:ascii="Arial Unicode MS" w:hAnsi="Arial Unicode MS"/>
          <w:sz w:val="18"/>
          <w:u w:val="none"/>
        </w:rPr>
      </w:pPr>
      <w:r w:rsidRPr="00E5474F">
        <w:rPr>
          <w:rFonts w:hint="eastAsia"/>
          <w:color w:val="5F5F5F"/>
          <w:sz w:val="18"/>
        </w:rPr>
        <w:t>。。。。。。。。。。。。。。。。。。。。。。。。。。。。。。。。。。。。。。。。。。。。。。。。。</w:t>
      </w:r>
      <w:r w:rsidRPr="00B93C1D">
        <w:rPr>
          <w:rFonts w:hint="eastAsia"/>
          <w:color w:val="5F5F5F"/>
          <w:sz w:val="18"/>
        </w:rPr>
        <w:t>。</w:t>
      </w:r>
      <w:hyperlink w:anchor="top" w:history="1">
        <w:r w:rsidRPr="00B93C1D">
          <w:rPr>
            <w:rStyle w:val="a3"/>
            <w:sz w:val="18"/>
          </w:rPr>
          <w:t>回</w:t>
        </w:r>
        <w:r w:rsidRPr="00B93C1D">
          <w:rPr>
            <w:rStyle w:val="a3"/>
            <w:sz w:val="18"/>
          </w:rPr>
          <w:t>首</w:t>
        </w:r>
        <w:r w:rsidRPr="00B93C1D">
          <w:rPr>
            <w:rStyle w:val="a3"/>
            <w:sz w:val="18"/>
          </w:rPr>
          <w:t>頁</w:t>
        </w:r>
      </w:hyperlink>
      <w:r w:rsidRPr="00B93C1D">
        <w:rPr>
          <w:rFonts w:ascii="新細明體" w:hAnsi="新細明體"/>
          <w:color w:val="808000"/>
          <w:sz w:val="18"/>
        </w:rPr>
        <w:t>&gt;&gt;</w:t>
      </w:r>
    </w:p>
    <w:p w:rsidR="00E64725" w:rsidRPr="00C23280" w:rsidRDefault="000D4AE2" w:rsidP="000D4AE2">
      <w:pPr>
        <w:ind w:left="142"/>
        <w:rPr>
          <w:rFonts w:ascii="新細明體" w:hAnsi="新細明體"/>
          <w:b/>
          <w:bCs/>
          <w:color w:val="800000"/>
        </w:rPr>
      </w:pPr>
      <w:r w:rsidRPr="00F30028">
        <w:rPr>
          <w:rFonts w:hint="eastAsia"/>
          <w:color w:val="5F5F5F"/>
          <w:sz w:val="18"/>
        </w:rPr>
        <w:t>【編註】本超連結法規檔以</w:t>
      </w:r>
      <w:hyperlink r:id="rId22" w:history="1">
        <w:r w:rsidRPr="00F30028">
          <w:rPr>
            <w:rStyle w:val="a3"/>
            <w:color w:val="5F5F5F"/>
            <w:sz w:val="18"/>
          </w:rPr>
          <w:t>總統府公報</w:t>
        </w:r>
      </w:hyperlink>
      <w:r w:rsidRPr="00F30028">
        <w:rPr>
          <w:rFonts w:hint="eastAsia"/>
          <w:color w:val="5F5F5F"/>
          <w:sz w:val="18"/>
        </w:rPr>
        <w:t>、</w:t>
      </w:r>
      <w:hyperlink r:id="rId23" w:history="1">
        <w:r w:rsidRPr="00F30028">
          <w:rPr>
            <w:rStyle w:val="a3"/>
            <w:color w:val="5F5F5F"/>
            <w:sz w:val="18"/>
          </w:rPr>
          <w:t>立法院</w:t>
        </w:r>
      </w:hyperlink>
      <w:r w:rsidRPr="00F30028">
        <w:rPr>
          <w:rFonts w:hint="eastAsia"/>
          <w:color w:val="5F5F5F"/>
          <w:sz w:val="18"/>
        </w:rPr>
        <w:t>及</w:t>
      </w:r>
      <w:hyperlink r:id="rId24" w:history="1">
        <w:r w:rsidRPr="00F30028">
          <w:rPr>
            <w:rStyle w:val="a3"/>
            <w:color w:val="5F5F5F"/>
            <w:sz w:val="18"/>
          </w:rPr>
          <w:t>法務部資訊網</w:t>
        </w:r>
      </w:hyperlink>
      <w:r w:rsidRPr="00F30028">
        <w:rPr>
          <w:rFonts w:hint="eastAsia"/>
          <w:color w:val="5F5F5F"/>
          <w:sz w:val="18"/>
        </w:rPr>
        <w:t>為依據，提供學習與參考為原則；如需正式引用，請以政府公告版為準。如有發現待更正部份及您所需本站未收編之法規，敬請</w:t>
      </w:r>
      <w:hyperlink r:id="rId25" w:history="1">
        <w:r w:rsidRPr="00F30028">
          <w:rPr>
            <w:rStyle w:val="a3"/>
            <w:color w:val="5F5F5F"/>
            <w:sz w:val="18"/>
          </w:rPr>
          <w:t>告知</w:t>
        </w:r>
      </w:hyperlink>
      <w:r w:rsidRPr="00F30028">
        <w:rPr>
          <w:rFonts w:hint="eastAsia"/>
          <w:color w:val="5F5F5F"/>
          <w:sz w:val="18"/>
        </w:rPr>
        <w:t>，謝謝！</w:t>
      </w:r>
    </w:p>
    <w:sectPr w:rsidR="00E64725" w:rsidRPr="00C23280">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0F" w:rsidRDefault="00E7770F">
      <w:r>
        <w:separator/>
      </w:r>
    </w:p>
  </w:endnote>
  <w:endnote w:type="continuationSeparator" w:id="0">
    <w:p w:rsidR="00E7770F" w:rsidRDefault="00E7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D4AE2">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6434FF" w:rsidRPr="006434FF">
      <w:rPr>
        <w:rFonts w:ascii="Arial Unicode MS" w:hAnsi="Arial Unicode MS" w:hint="eastAsia"/>
        <w:sz w:val="18"/>
        <w:szCs w:val="18"/>
      </w:rPr>
      <w:t>不動產經紀業營業保證基金管理委員會組織及基金管理辦法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0F" w:rsidRDefault="00E7770F">
      <w:r>
        <w:separator/>
      </w:r>
    </w:p>
  </w:footnote>
  <w:footnote w:type="continuationSeparator" w:id="0">
    <w:p w:rsidR="00E7770F" w:rsidRDefault="00E7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5679B"/>
    <w:rsid w:val="00067E86"/>
    <w:rsid w:val="000813C3"/>
    <w:rsid w:val="00092BF5"/>
    <w:rsid w:val="000A39E4"/>
    <w:rsid w:val="000B5372"/>
    <w:rsid w:val="000D4AE2"/>
    <w:rsid w:val="000E6C10"/>
    <w:rsid w:val="000F664A"/>
    <w:rsid w:val="00100AFC"/>
    <w:rsid w:val="00107E34"/>
    <w:rsid w:val="00124594"/>
    <w:rsid w:val="00124899"/>
    <w:rsid w:val="00134DD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50476"/>
    <w:rsid w:val="00265AF1"/>
    <w:rsid w:val="002759E3"/>
    <w:rsid w:val="00280157"/>
    <w:rsid w:val="00293BD4"/>
    <w:rsid w:val="00295D68"/>
    <w:rsid w:val="002B406B"/>
    <w:rsid w:val="002B4191"/>
    <w:rsid w:val="002B5901"/>
    <w:rsid w:val="002B7149"/>
    <w:rsid w:val="002C0BF4"/>
    <w:rsid w:val="002D438F"/>
    <w:rsid w:val="002E07C9"/>
    <w:rsid w:val="002E1F81"/>
    <w:rsid w:val="002E398B"/>
    <w:rsid w:val="002F61FB"/>
    <w:rsid w:val="002F6388"/>
    <w:rsid w:val="00304FED"/>
    <w:rsid w:val="00307359"/>
    <w:rsid w:val="00324E78"/>
    <w:rsid w:val="00336377"/>
    <w:rsid w:val="00346029"/>
    <w:rsid w:val="00356A6B"/>
    <w:rsid w:val="003611BA"/>
    <w:rsid w:val="00376334"/>
    <w:rsid w:val="00376CE0"/>
    <w:rsid w:val="003832C7"/>
    <w:rsid w:val="00392D6B"/>
    <w:rsid w:val="00396441"/>
    <w:rsid w:val="003974F9"/>
    <w:rsid w:val="003A41F2"/>
    <w:rsid w:val="003D3CF8"/>
    <w:rsid w:val="003F1B68"/>
    <w:rsid w:val="003F723A"/>
    <w:rsid w:val="004209C6"/>
    <w:rsid w:val="004254F9"/>
    <w:rsid w:val="004422B7"/>
    <w:rsid w:val="00456FD4"/>
    <w:rsid w:val="00472DAD"/>
    <w:rsid w:val="00480695"/>
    <w:rsid w:val="00491BB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90A11"/>
    <w:rsid w:val="0059301E"/>
    <w:rsid w:val="00593A15"/>
    <w:rsid w:val="005A3F72"/>
    <w:rsid w:val="005B348B"/>
    <w:rsid w:val="005C252B"/>
    <w:rsid w:val="005D5C90"/>
    <w:rsid w:val="005F269B"/>
    <w:rsid w:val="005F4624"/>
    <w:rsid w:val="005F4688"/>
    <w:rsid w:val="005F611C"/>
    <w:rsid w:val="00602273"/>
    <w:rsid w:val="00621E56"/>
    <w:rsid w:val="006338AD"/>
    <w:rsid w:val="006434FF"/>
    <w:rsid w:val="006505D3"/>
    <w:rsid w:val="006712A6"/>
    <w:rsid w:val="00671B31"/>
    <w:rsid w:val="006962E8"/>
    <w:rsid w:val="0069720E"/>
    <w:rsid w:val="0069798E"/>
    <w:rsid w:val="00697B6D"/>
    <w:rsid w:val="006A4840"/>
    <w:rsid w:val="006F02FC"/>
    <w:rsid w:val="00701248"/>
    <w:rsid w:val="0070387E"/>
    <w:rsid w:val="00703E5A"/>
    <w:rsid w:val="00704646"/>
    <w:rsid w:val="00711E1E"/>
    <w:rsid w:val="00715733"/>
    <w:rsid w:val="00752FB2"/>
    <w:rsid w:val="00780F68"/>
    <w:rsid w:val="00787C4D"/>
    <w:rsid w:val="007A1DF9"/>
    <w:rsid w:val="007A3CDD"/>
    <w:rsid w:val="007C11EB"/>
    <w:rsid w:val="007C61E0"/>
    <w:rsid w:val="007D7380"/>
    <w:rsid w:val="008016D2"/>
    <w:rsid w:val="00801E84"/>
    <w:rsid w:val="00811FCC"/>
    <w:rsid w:val="00824E90"/>
    <w:rsid w:val="00825355"/>
    <w:rsid w:val="008315AC"/>
    <w:rsid w:val="00836E7C"/>
    <w:rsid w:val="00841D7C"/>
    <w:rsid w:val="00852450"/>
    <w:rsid w:val="00864881"/>
    <w:rsid w:val="0086558C"/>
    <w:rsid w:val="00880ADC"/>
    <w:rsid w:val="008863BD"/>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5B37"/>
    <w:rsid w:val="00936167"/>
    <w:rsid w:val="00936744"/>
    <w:rsid w:val="00937A81"/>
    <w:rsid w:val="00947276"/>
    <w:rsid w:val="009633B8"/>
    <w:rsid w:val="009654F7"/>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1D94"/>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B0C20"/>
    <w:rsid w:val="00BC51BA"/>
    <w:rsid w:val="00BC762E"/>
    <w:rsid w:val="00BC7E09"/>
    <w:rsid w:val="00BD0083"/>
    <w:rsid w:val="00BD2114"/>
    <w:rsid w:val="00BD3C7D"/>
    <w:rsid w:val="00BE45DE"/>
    <w:rsid w:val="00BF4B7D"/>
    <w:rsid w:val="00C07A1A"/>
    <w:rsid w:val="00C11F97"/>
    <w:rsid w:val="00C23280"/>
    <w:rsid w:val="00C25BD7"/>
    <w:rsid w:val="00C30980"/>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1AB7"/>
    <w:rsid w:val="00D77174"/>
    <w:rsid w:val="00D85D87"/>
    <w:rsid w:val="00D941CA"/>
    <w:rsid w:val="00DC06D4"/>
    <w:rsid w:val="00DD2CD9"/>
    <w:rsid w:val="00DD58A0"/>
    <w:rsid w:val="00DD6249"/>
    <w:rsid w:val="00DE29D6"/>
    <w:rsid w:val="00DE60CA"/>
    <w:rsid w:val="00DF494B"/>
    <w:rsid w:val="00DF6F22"/>
    <w:rsid w:val="00E046D3"/>
    <w:rsid w:val="00E05B98"/>
    <w:rsid w:val="00E16E31"/>
    <w:rsid w:val="00E26C33"/>
    <w:rsid w:val="00E64725"/>
    <w:rsid w:val="00E75407"/>
    <w:rsid w:val="00E76870"/>
    <w:rsid w:val="00E7770F"/>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32B"/>
    <w:rsid w:val="00F53513"/>
    <w:rsid w:val="00F54203"/>
    <w:rsid w:val="00F855BC"/>
    <w:rsid w:val="00F86093"/>
    <w:rsid w:val="00F87EA2"/>
    <w:rsid w:val="00F909A7"/>
    <w:rsid w:val="00F90CE4"/>
    <w:rsid w:val="00F96C4B"/>
    <w:rsid w:val="00F976FD"/>
    <w:rsid w:val="00FB2684"/>
    <w:rsid w:val="00FD1655"/>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19981;&#21205;&#29986;&#32147;&#32000;&#26989;&#31649;&#29702;&#26781;&#20363;.docx"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law/&#19981;&#21205;&#29986;&#32147;&#32000;&#26989;&#31649;&#29702;&#26781;&#20363;.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19981;&#21205;&#29986;&#32147;&#32000;&#26989;&#31649;&#29702;&#26781;&#20363;.docx" TargetMode="External"/><Relationship Id="rId25"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http://www.6law.idv.tw/6law/law3/&#19981;&#21205;&#29986;&#32147;&#32000;&#26989;&#29151;&#26989;&#20445;&#35657;&#22522;&#37329;&#31649;&#29702;&#22996;&#21729;&#26371;&#32068;&#32340;&#21450;&#22522;&#37329;&#31649;&#29702;&#36774;&#27861;.htm" TargetMode="External"/><Relationship Id="rId20" Type="http://schemas.openxmlformats.org/officeDocument/2006/relationships/hyperlink" Target="../law/&#19981;&#21205;&#29986;&#32147;&#32000;&#26989;&#31649;&#29702;&#26781;&#20363;.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D0060072" TargetMode="External"/><Relationship Id="rId24" Type="http://schemas.openxmlformats.org/officeDocument/2006/relationships/hyperlink" Target="http://law.moj.gov.tw/" TargetMode="External"/><Relationship Id="rId5" Type="http://schemas.openxmlformats.org/officeDocument/2006/relationships/webSettings" Target="webSettings.xml"/><Relationship Id="rId15" Type="http://schemas.openxmlformats.org/officeDocument/2006/relationships/hyperlink" Target="../S-link&#20998;&#39006;&#27861;&#35215;&#32034;&#24341;.docx" TargetMode="External"/><Relationship Id="rId23" Type="http://schemas.openxmlformats.org/officeDocument/2006/relationships/hyperlink" Target="http://www.ly.gov.tw/" TargetMode="External"/><Relationship Id="rId28"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19981;&#21205;&#29986;&#32147;&#32000;&#26989;&#31649;&#29702;&#26781;&#20363;.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http://www.president.gov.tw"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Links>
    <vt:vector size="162" baseType="variant">
      <vt:variant>
        <vt:i4>2949124</vt:i4>
      </vt:variant>
      <vt:variant>
        <vt:i4>78</vt:i4>
      </vt:variant>
      <vt:variant>
        <vt:i4>0</vt:i4>
      </vt:variant>
      <vt:variant>
        <vt:i4>5</vt:i4>
      </vt:variant>
      <vt:variant>
        <vt:lpwstr>mailto:anita399646@hotmail.com</vt:lpwstr>
      </vt:variant>
      <vt:variant>
        <vt:lpwstr/>
      </vt:variant>
      <vt:variant>
        <vt:i4>8192049</vt:i4>
      </vt:variant>
      <vt:variant>
        <vt:i4>75</vt:i4>
      </vt:variant>
      <vt:variant>
        <vt:i4>0</vt:i4>
      </vt:variant>
      <vt:variant>
        <vt:i4>5</vt:i4>
      </vt:variant>
      <vt:variant>
        <vt:lpwstr>http://law.moj.gov.tw/</vt:lpwstr>
      </vt:variant>
      <vt:variant>
        <vt:lpwstr/>
      </vt:variant>
      <vt:variant>
        <vt:i4>6225996</vt:i4>
      </vt:variant>
      <vt:variant>
        <vt:i4>72</vt:i4>
      </vt:variant>
      <vt:variant>
        <vt:i4>0</vt:i4>
      </vt:variant>
      <vt:variant>
        <vt:i4>5</vt:i4>
      </vt:variant>
      <vt:variant>
        <vt:lpwstr>http://www.ly.gov.tw/</vt:lpwstr>
      </vt:variant>
      <vt:variant>
        <vt:lpwstr/>
      </vt:variant>
      <vt:variant>
        <vt:i4>786499</vt:i4>
      </vt:variant>
      <vt:variant>
        <vt:i4>69</vt:i4>
      </vt:variant>
      <vt:variant>
        <vt:i4>0</vt:i4>
      </vt:variant>
      <vt:variant>
        <vt:i4>5</vt:i4>
      </vt:variant>
      <vt:variant>
        <vt:lpwstr>http://www.president.gov.tw/</vt:lpwstr>
      </vt:variant>
      <vt:variant>
        <vt:lpwstr/>
      </vt:variant>
      <vt:variant>
        <vt:i4>7274612</vt:i4>
      </vt:variant>
      <vt:variant>
        <vt:i4>66</vt:i4>
      </vt:variant>
      <vt:variant>
        <vt:i4>0</vt:i4>
      </vt:variant>
      <vt:variant>
        <vt:i4>5</vt:i4>
      </vt:variant>
      <vt:variant>
        <vt:lpwstr/>
      </vt:variant>
      <vt:variant>
        <vt:lpwstr>top</vt:lpwstr>
      </vt:variant>
      <vt:variant>
        <vt:i4>130186145</vt:i4>
      </vt:variant>
      <vt:variant>
        <vt:i4>63</vt:i4>
      </vt:variant>
      <vt:variant>
        <vt:i4>0</vt:i4>
      </vt:variant>
      <vt:variant>
        <vt:i4>5</vt:i4>
      </vt:variant>
      <vt:variant>
        <vt:lpwstr/>
      </vt:variant>
      <vt:variant>
        <vt:lpwstr>a章節索引</vt:lpwstr>
      </vt:variant>
      <vt:variant>
        <vt:i4>1431338476</vt:i4>
      </vt:variant>
      <vt:variant>
        <vt:i4>60</vt:i4>
      </vt:variant>
      <vt:variant>
        <vt:i4>0</vt:i4>
      </vt:variant>
      <vt:variant>
        <vt:i4>5</vt:i4>
      </vt:variant>
      <vt:variant>
        <vt:lpwstr>../law/不動產經紀業管理條例.doc</vt:lpwstr>
      </vt:variant>
      <vt:variant>
        <vt:lpwstr>a7</vt:lpwstr>
      </vt:variant>
      <vt:variant>
        <vt:i4>1432255980</vt:i4>
      </vt:variant>
      <vt:variant>
        <vt:i4>57</vt:i4>
      </vt:variant>
      <vt:variant>
        <vt:i4>0</vt:i4>
      </vt:variant>
      <vt:variant>
        <vt:i4>5</vt:i4>
      </vt:variant>
      <vt:variant>
        <vt:lpwstr>../law/不動產經紀業管理條例.doc</vt:lpwstr>
      </vt:variant>
      <vt:variant>
        <vt:lpwstr>a9</vt:lpwstr>
      </vt:variant>
      <vt:variant>
        <vt:i4>1431666156</vt:i4>
      </vt:variant>
      <vt:variant>
        <vt:i4>54</vt:i4>
      </vt:variant>
      <vt:variant>
        <vt:i4>0</vt:i4>
      </vt:variant>
      <vt:variant>
        <vt:i4>5</vt:i4>
      </vt:variant>
      <vt:variant>
        <vt:lpwstr>../law/不動產經紀業管理條例.doc</vt:lpwstr>
      </vt:variant>
      <vt:variant>
        <vt:lpwstr>a26</vt:lpwstr>
      </vt:variant>
      <vt:variant>
        <vt:i4>130186145</vt:i4>
      </vt:variant>
      <vt:variant>
        <vt:i4>51</vt:i4>
      </vt:variant>
      <vt:variant>
        <vt:i4>0</vt:i4>
      </vt:variant>
      <vt:variant>
        <vt:i4>5</vt:i4>
      </vt:variant>
      <vt:variant>
        <vt:lpwstr/>
      </vt:variant>
      <vt:variant>
        <vt:lpwstr>a章節索引</vt:lpwstr>
      </vt:variant>
      <vt:variant>
        <vt:i4>3211361</vt:i4>
      </vt:variant>
      <vt:variant>
        <vt:i4>48</vt:i4>
      </vt:variant>
      <vt:variant>
        <vt:i4>0</vt:i4>
      </vt:variant>
      <vt:variant>
        <vt:i4>5</vt:i4>
      </vt:variant>
      <vt:variant>
        <vt:lpwstr/>
      </vt:variant>
      <vt:variant>
        <vt:lpwstr>a12</vt:lpwstr>
      </vt:variant>
      <vt:variant>
        <vt:i4>3473505</vt:i4>
      </vt:variant>
      <vt:variant>
        <vt:i4>45</vt:i4>
      </vt:variant>
      <vt:variant>
        <vt:i4>0</vt:i4>
      </vt:variant>
      <vt:variant>
        <vt:i4>5</vt:i4>
      </vt:variant>
      <vt:variant>
        <vt:lpwstr/>
      </vt:variant>
      <vt:variant>
        <vt:lpwstr>a5</vt:lpwstr>
      </vt:variant>
      <vt:variant>
        <vt:i4>3211361</vt:i4>
      </vt:variant>
      <vt:variant>
        <vt:i4>42</vt:i4>
      </vt:variant>
      <vt:variant>
        <vt:i4>0</vt:i4>
      </vt:variant>
      <vt:variant>
        <vt:i4>5</vt:i4>
      </vt:variant>
      <vt:variant>
        <vt:lpwstr/>
      </vt:variant>
      <vt:variant>
        <vt:lpwstr>a10</vt:lpwstr>
      </vt:variant>
      <vt:variant>
        <vt:i4>130186145</vt:i4>
      </vt:variant>
      <vt:variant>
        <vt:i4>39</vt:i4>
      </vt:variant>
      <vt:variant>
        <vt:i4>0</vt:i4>
      </vt:variant>
      <vt:variant>
        <vt:i4>5</vt:i4>
      </vt:variant>
      <vt:variant>
        <vt:lpwstr/>
      </vt:variant>
      <vt:variant>
        <vt:lpwstr>a章節索引</vt:lpwstr>
      </vt:variant>
      <vt:variant>
        <vt:i4>1432321516</vt:i4>
      </vt:variant>
      <vt:variant>
        <vt:i4>36</vt:i4>
      </vt:variant>
      <vt:variant>
        <vt:i4>0</vt:i4>
      </vt:variant>
      <vt:variant>
        <vt:i4>5</vt:i4>
      </vt:variant>
      <vt:variant>
        <vt:lpwstr>../law/不動產經紀業管理條例.doc</vt:lpwstr>
      </vt:variant>
      <vt:variant>
        <vt:lpwstr>a8</vt:lpwstr>
      </vt:variant>
      <vt:variant>
        <vt:i4>1432321516</vt:i4>
      </vt:variant>
      <vt:variant>
        <vt:i4>33</vt:i4>
      </vt:variant>
      <vt:variant>
        <vt:i4>0</vt:i4>
      </vt:variant>
      <vt:variant>
        <vt:i4>5</vt:i4>
      </vt:variant>
      <vt:variant>
        <vt:lpwstr>../law/不動產經紀業管理條例.doc</vt:lpwstr>
      </vt:variant>
      <vt:variant>
        <vt:lpwstr>a8</vt:lpwstr>
      </vt:variant>
      <vt:variant>
        <vt:i4>26433243</vt:i4>
      </vt:variant>
      <vt:variant>
        <vt:i4>30</vt:i4>
      </vt:variant>
      <vt:variant>
        <vt:i4>0</vt:i4>
      </vt:variant>
      <vt:variant>
        <vt:i4>5</vt:i4>
      </vt:variant>
      <vt:variant>
        <vt:lpwstr/>
      </vt:variant>
      <vt:variant>
        <vt:lpwstr>_第四章__附</vt:lpwstr>
      </vt:variant>
      <vt:variant>
        <vt:i4>26430985</vt:i4>
      </vt:variant>
      <vt:variant>
        <vt:i4>27</vt:i4>
      </vt:variant>
      <vt:variant>
        <vt:i4>0</vt:i4>
      </vt:variant>
      <vt:variant>
        <vt:i4>5</vt:i4>
      </vt:variant>
      <vt:variant>
        <vt:lpwstr/>
      </vt:variant>
      <vt:variant>
        <vt:lpwstr>_第三章__管</vt:lpwstr>
      </vt:variant>
      <vt:variant>
        <vt:i4>26431116</vt:i4>
      </vt:variant>
      <vt:variant>
        <vt:i4>24</vt:i4>
      </vt:variant>
      <vt:variant>
        <vt:i4>0</vt:i4>
      </vt:variant>
      <vt:variant>
        <vt:i4>5</vt:i4>
      </vt:variant>
      <vt:variant>
        <vt:lpwstr/>
      </vt:variant>
      <vt:variant>
        <vt:lpwstr>_第二章__組</vt:lpwstr>
      </vt:variant>
      <vt:variant>
        <vt:i4>26430976</vt:i4>
      </vt:variant>
      <vt:variant>
        <vt:i4>21</vt:i4>
      </vt:variant>
      <vt:variant>
        <vt:i4>0</vt:i4>
      </vt:variant>
      <vt:variant>
        <vt:i4>5</vt:i4>
      </vt:variant>
      <vt:variant>
        <vt:lpwstr/>
      </vt:variant>
      <vt:variant>
        <vt:lpwstr>_第一章__總</vt:lpwstr>
      </vt:variant>
      <vt:variant>
        <vt:i4>-1223183619</vt:i4>
      </vt:variant>
      <vt:variant>
        <vt:i4>18</vt:i4>
      </vt:variant>
      <vt:variant>
        <vt:i4>0</vt:i4>
      </vt:variant>
      <vt:variant>
        <vt:i4>5</vt:i4>
      </vt:variant>
      <vt:variant>
        <vt:lpwstr>http://www.6law.idv.tw/6law/law3/不動產經紀業營業保證基金管理委員會組織及基金管理辦法.htm</vt:lpwstr>
      </vt:variant>
      <vt:variant>
        <vt:lpwstr/>
      </vt:variant>
      <vt:variant>
        <vt:i4>-245696122</vt:i4>
      </vt:variant>
      <vt:variant>
        <vt:i4>15</vt:i4>
      </vt:variant>
      <vt:variant>
        <vt:i4>0</vt:i4>
      </vt:variant>
      <vt:variant>
        <vt:i4>5</vt:i4>
      </vt:variant>
      <vt:variant>
        <vt:lpwstr>../S-link分類法規索引.doc</vt:lpwstr>
      </vt:variant>
      <vt:variant>
        <vt:lpwstr>不動產經紀業營業保證基金管理委員會組織及基金管理辦法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不動產經紀業營業保證基金管理委員會組織及基金管理辦法</dc:title>
  <dc:subject/>
  <dc:creator>S-link 電子六法-黃婉玲</dc:creator>
  <cp:keywords/>
  <cp:lastModifiedBy>Anita</cp:lastModifiedBy>
  <cp:revision>3</cp:revision>
  <dcterms:created xsi:type="dcterms:W3CDTF">2014-11-27T15:19:00Z</dcterms:created>
  <dcterms:modified xsi:type="dcterms:W3CDTF">2016-03-18T06:19:00Z</dcterms:modified>
</cp:coreProperties>
</file>