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EE7" w:rsidRDefault="007B59EF" w:rsidP="005D6F38">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57200"/>
            <wp:effectExtent l="0" t="0" r="8890" b="0"/>
            <wp:docPr id="1" name="圖片 1" descr="6law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law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 cy="457200"/>
                    </a:xfrm>
                    <a:prstGeom prst="rect">
                      <a:avLst/>
                    </a:prstGeom>
                    <a:noFill/>
                    <a:ln>
                      <a:noFill/>
                    </a:ln>
                  </pic:spPr>
                </pic:pic>
              </a:graphicData>
            </a:graphic>
          </wp:inline>
        </w:drawing>
      </w:r>
    </w:p>
    <w:p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CF3B12">
        <w:rPr>
          <w:rFonts w:ascii="Arial Unicode MS" w:hAnsi="Arial Unicode MS"/>
          <w:color w:val="7F7F7F"/>
          <w:sz w:val="18"/>
          <w:szCs w:val="20"/>
        </w:rPr>
        <w:t>2018/11/4</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sidRPr="00732CDE">
          <w:rPr>
            <w:rStyle w:val="a3"/>
            <w:sz w:val="18"/>
            <w:szCs w:val="20"/>
          </w:rPr>
          <w:t>黃婉玲</w:t>
        </w:r>
      </w:hyperlink>
    </w:p>
    <w:p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3030E3">
        <w:rPr>
          <w:rFonts w:hint="eastAsia"/>
          <w:color w:val="808000"/>
          <w:sz w:val="18"/>
          <w:szCs w:val="20"/>
        </w:rPr>
        <w:t>〉</w:t>
      </w:r>
      <w:r>
        <w:rPr>
          <w:rFonts w:hint="eastAsia"/>
          <w:color w:val="808000"/>
          <w:sz w:val="18"/>
          <w:szCs w:val="20"/>
        </w:rPr>
        <w:t>檢視</w:t>
      </w:r>
      <w:r>
        <w:rPr>
          <w:rFonts w:hint="eastAsia"/>
          <w:color w:val="808000"/>
          <w:sz w:val="18"/>
          <w:szCs w:val="20"/>
        </w:rPr>
        <w:t>--</w:t>
      </w:r>
      <w:r w:rsidR="003030E3">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775"/>
        <w:gridCol w:w="2890"/>
      </w:tblGrid>
      <w:tr w:rsidR="0045425A" w:rsidRPr="000509F5" w:rsidTr="00AB72F0">
        <w:trPr>
          <w:cantSplit/>
          <w:tblCellSpacing w:w="0" w:type="dxa"/>
        </w:trPr>
        <w:tc>
          <w:tcPr>
            <w:tcW w:w="697" w:type="pct"/>
            <w:tcBorders>
              <w:top w:val="nil"/>
              <w:left w:val="nil"/>
              <w:bottom w:val="nil"/>
              <w:right w:val="nil"/>
            </w:tcBorders>
            <w:shd w:val="clear" w:color="auto" w:fill="339966"/>
            <w:vAlign w:val="center"/>
          </w:tcPr>
          <w:p w:rsidR="0045425A" w:rsidRPr="008013F3" w:rsidRDefault="00E97591" w:rsidP="005D6F38">
            <w:pPr>
              <w:ind w:leftChars="-6" w:left="-12"/>
              <w:jc w:val="center"/>
              <w:rPr>
                <w:rFonts w:ascii="Arial Unicode MS" w:hAnsi="Arial Unicode MS"/>
                <w:b/>
                <w:bCs/>
                <w:color w:val="FFFFFF"/>
                <w:szCs w:val="20"/>
              </w:rPr>
            </w:pPr>
            <w:r w:rsidRPr="00E97591">
              <w:rPr>
                <w:rFonts w:ascii="Arial Unicode MS" w:hAnsi="Arial Unicode MS"/>
                <w:b/>
                <w:bCs/>
                <w:color w:val="FFFFFF"/>
                <w:sz w:val="18"/>
                <w:szCs w:val="20"/>
              </w:rPr>
              <w:t>法規名稱</w:t>
            </w:r>
          </w:p>
        </w:tc>
        <w:tc>
          <w:tcPr>
            <w:tcW w:w="2868" w:type="pct"/>
            <w:tcBorders>
              <w:top w:val="nil"/>
              <w:left w:val="nil"/>
              <w:bottom w:val="nil"/>
              <w:right w:val="nil"/>
            </w:tcBorders>
            <w:shd w:val="clear" w:color="auto" w:fill="F6FCF9"/>
            <w:vAlign w:val="center"/>
          </w:tcPr>
          <w:p w:rsidR="0045425A" w:rsidRPr="000A5999" w:rsidRDefault="00B339CB"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B339CB">
              <w:rPr>
                <w:rFonts w:eastAsia="標楷體" w:hint="eastAsia"/>
                <w:sz w:val="28"/>
                <w:szCs w:val="28"/>
                <w14:shadow w14:blurRad="50800" w14:dist="38100" w14:dir="2700000" w14:sx="100000" w14:sy="100000" w14:kx="0" w14:ky="0" w14:algn="tl">
                  <w14:srgbClr w14:val="000000">
                    <w14:alpha w14:val="60000"/>
                  </w14:srgbClr>
                </w14:shadow>
              </w:rPr>
              <w:t>公司法第二十二條之一資料申報及管理辦法</w:t>
            </w:r>
          </w:p>
        </w:tc>
        <w:tc>
          <w:tcPr>
            <w:tcW w:w="1435" w:type="pct"/>
            <w:tcBorders>
              <w:top w:val="nil"/>
              <w:left w:val="nil"/>
              <w:bottom w:val="nil"/>
              <w:right w:val="nil"/>
            </w:tcBorders>
            <w:shd w:val="clear" w:color="auto" w:fill="F6FCF9"/>
            <w:vAlign w:val="center"/>
          </w:tcPr>
          <w:p w:rsidR="00EC7AEC" w:rsidRDefault="0045425A" w:rsidP="005D6F38">
            <w:pPr>
              <w:ind w:leftChars="-6" w:left="-12"/>
              <w:jc w:val="both"/>
              <w:rPr>
                <w:rFonts w:ascii="Arial Unicode MS" w:hAnsi="Arial Unicode MS"/>
                <w:color w:val="333333"/>
              </w:rPr>
            </w:pPr>
            <w:r w:rsidRPr="000509F5">
              <w:rPr>
                <w:rFonts w:ascii="Arial Unicode MS" w:hAnsi="Arial Unicode MS"/>
                <w:color w:val="333333"/>
              </w:rPr>
              <w:t>【公布日期】</w:t>
            </w:r>
            <w:r w:rsidR="00525994">
              <w:rPr>
                <w:rFonts w:ascii="Arial Unicode MS" w:hAnsi="Arial Unicode MS" w:hint="eastAsia"/>
                <w:color w:val="333333"/>
              </w:rPr>
              <w:t>1</w:t>
            </w:r>
            <w:r w:rsidR="00525994">
              <w:rPr>
                <w:rFonts w:ascii="Arial Unicode MS" w:hAnsi="Arial Unicode MS"/>
                <w:color w:val="333333"/>
              </w:rPr>
              <w:t>07.10.31</w:t>
            </w:r>
          </w:p>
          <w:p w:rsidR="0045425A" w:rsidRPr="000509F5" w:rsidRDefault="0045425A" w:rsidP="005D6F38">
            <w:pPr>
              <w:ind w:leftChars="-6" w:left="-12"/>
              <w:jc w:val="both"/>
              <w:rPr>
                <w:rFonts w:ascii="Arial Unicode MS" w:hAnsi="Arial Unicode MS"/>
                <w:color w:val="333333"/>
              </w:rPr>
            </w:pPr>
            <w:r w:rsidRPr="000509F5">
              <w:rPr>
                <w:rFonts w:ascii="Arial Unicode MS" w:hAnsi="Arial Unicode MS"/>
                <w:color w:val="333333"/>
              </w:rPr>
              <w:t>【公布機關】</w:t>
            </w:r>
            <w:r w:rsidR="00CF3B12" w:rsidRPr="00F66275">
              <w:rPr>
                <w:rFonts w:ascii="Arial Unicode MS" w:hAnsi="Arial Unicode MS" w:hint="eastAsia"/>
                <w:sz w:val="18"/>
              </w:rPr>
              <w:t>經濟部</w:t>
            </w:r>
            <w:r w:rsidR="009271D9" w:rsidRPr="00F66275">
              <w:rPr>
                <w:rFonts w:ascii="Arial Unicode MS" w:hAnsi="Arial Unicode MS" w:hint="eastAsia"/>
                <w:sz w:val="18"/>
              </w:rPr>
              <w:t>、法務部</w:t>
            </w:r>
          </w:p>
        </w:tc>
      </w:tr>
    </w:tbl>
    <w:p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0" w:anchor="公司法第二十二條之一資料申報及管理辦法" w:history="1">
        <w:r w:rsidRPr="00104FBB">
          <w:rPr>
            <w:rStyle w:val="a3"/>
            <w:rFonts w:ascii="Arial Unicode MS" w:hAnsi="Arial Unicode MS" w:hint="eastAsia"/>
            <w:sz w:val="18"/>
          </w:rPr>
          <w:t>S-lin</w:t>
        </w:r>
        <w:bookmarkStart w:id="1" w:name="_GoBack"/>
        <w:r w:rsidRPr="00104FBB">
          <w:rPr>
            <w:rStyle w:val="a3"/>
            <w:rFonts w:ascii="Arial Unicode MS" w:hAnsi="Arial Unicode MS" w:hint="eastAsia"/>
            <w:sz w:val="18"/>
          </w:rPr>
          <w:t>k</w:t>
        </w:r>
        <w:bookmarkEnd w:id="1"/>
        <w:r w:rsidRPr="00104FBB">
          <w:rPr>
            <w:rStyle w:val="a3"/>
            <w:rFonts w:ascii="Arial Unicode MS" w:hAnsi="Arial Unicode MS" w:hint="eastAsia"/>
            <w:sz w:val="18"/>
          </w:rPr>
          <w:t>索引</w:t>
        </w:r>
      </w:hyperlink>
      <w:r w:rsidR="003030E3">
        <w:rPr>
          <w:rFonts w:ascii="Arial Unicode MS" w:hAnsi="Arial Unicode MS" w:hint="eastAsia"/>
          <w:b/>
          <w:color w:val="5F5F5F"/>
          <w:sz w:val="18"/>
        </w:rPr>
        <w:t>〉〉</w:t>
      </w:r>
      <w:hyperlink r:id="rId11" w:tgtFrame="_blank" w:history="1">
        <w:r w:rsidRPr="00104FBB">
          <w:rPr>
            <w:rStyle w:val="a3"/>
            <w:rFonts w:ascii="Arial Unicode MS" w:hAnsi="Arial Unicode MS" w:hint="eastAsia"/>
            <w:sz w:val="18"/>
          </w:rPr>
          <w:t>線上網頁版</w:t>
        </w:r>
      </w:hyperlink>
      <w:r w:rsidR="003030E3">
        <w:rPr>
          <w:rFonts w:ascii="Arial Unicode MS" w:hAnsi="Arial Unicode MS" w:hint="eastAsia"/>
          <w:b/>
          <w:color w:val="5F5F5F"/>
          <w:sz w:val="18"/>
        </w:rPr>
        <w:t>〉〉</w:t>
      </w:r>
    </w:p>
    <w:p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rsidR="00EC7AEC" w:rsidRPr="00EB27D6" w:rsidRDefault="0045425A" w:rsidP="00F66275">
      <w:pPr>
        <w:ind w:left="142"/>
        <w:rPr>
          <w:rFonts w:ascii="Arial Unicode MS" w:hAnsi="Arial Unicode MS"/>
        </w:rPr>
      </w:pPr>
      <w:r w:rsidRPr="00EB27D6">
        <w:rPr>
          <w:rFonts w:ascii="Arial Unicode MS" w:hAnsi="Arial Unicode MS"/>
          <w:b/>
          <w:sz w:val="18"/>
        </w:rPr>
        <w:t>1</w:t>
      </w:r>
      <w:r w:rsidR="00EB27D6" w:rsidRPr="00EB27D6">
        <w:rPr>
          <w:rFonts w:ascii="新細明體" w:hAnsi="新細明體"/>
        </w:rPr>
        <w:t>‧</w:t>
      </w:r>
      <w:r w:rsidR="00F66275" w:rsidRPr="00F66275">
        <w:rPr>
          <w:rFonts w:ascii="Arial Unicode MS" w:hAnsi="Arial Unicode MS" w:hint="eastAsia"/>
          <w:sz w:val="18"/>
        </w:rPr>
        <w:t>中華民國一百零七年十月三十一日經濟部經商字第</w:t>
      </w:r>
      <w:r w:rsidR="00F66275" w:rsidRPr="00F66275">
        <w:rPr>
          <w:rFonts w:ascii="Arial Unicode MS" w:hAnsi="Arial Unicode MS" w:hint="eastAsia"/>
          <w:sz w:val="18"/>
        </w:rPr>
        <w:t>10702423570</w:t>
      </w:r>
      <w:r w:rsidR="00F66275" w:rsidRPr="00F66275">
        <w:rPr>
          <w:rFonts w:ascii="Arial Unicode MS" w:hAnsi="Arial Unicode MS" w:hint="eastAsia"/>
          <w:sz w:val="18"/>
        </w:rPr>
        <w:t>號令、法務部法令字第</w:t>
      </w:r>
      <w:r w:rsidR="00F66275" w:rsidRPr="00F66275">
        <w:rPr>
          <w:rFonts w:ascii="Arial Unicode MS" w:hAnsi="Arial Unicode MS" w:hint="eastAsia"/>
          <w:sz w:val="18"/>
        </w:rPr>
        <w:t>10704533660</w:t>
      </w:r>
      <w:r w:rsidR="00F66275" w:rsidRPr="00F66275">
        <w:rPr>
          <w:rFonts w:ascii="Arial Unicode MS" w:hAnsi="Arial Unicode MS" w:hint="eastAsia"/>
          <w:sz w:val="18"/>
        </w:rPr>
        <w:t>號令會銜訂定發布全文</w:t>
      </w:r>
      <w:r w:rsidR="00F66275" w:rsidRPr="00F66275">
        <w:rPr>
          <w:rFonts w:ascii="Arial Unicode MS" w:hAnsi="Arial Unicode MS" w:hint="eastAsia"/>
          <w:sz w:val="18"/>
        </w:rPr>
        <w:t>18</w:t>
      </w:r>
      <w:r w:rsidR="00F66275" w:rsidRPr="00F66275">
        <w:rPr>
          <w:rFonts w:ascii="Arial Unicode MS" w:hAnsi="Arial Unicode MS" w:hint="eastAsia"/>
          <w:sz w:val="18"/>
        </w:rPr>
        <w:t>條；並自一百零七年十一月一日施行</w:t>
      </w:r>
    </w:p>
    <w:p w:rsidR="0045425A" w:rsidRDefault="0045425A">
      <w:pPr>
        <w:ind w:firstLineChars="100" w:firstLine="200"/>
        <w:rPr>
          <w:rFonts w:ascii="Arial Unicode MS" w:hAnsi="Arial Unicode MS"/>
          <w:b/>
          <w:bCs/>
          <w:color w:val="800000"/>
        </w:rPr>
      </w:pPr>
    </w:p>
    <w:p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rsidR="00B339CB" w:rsidRPr="00CF3B12" w:rsidRDefault="00B339CB" w:rsidP="0085568A">
      <w:pPr>
        <w:pStyle w:val="2"/>
        <w:jc w:val="both"/>
      </w:pPr>
      <w:bookmarkStart w:id="2" w:name="a1"/>
      <w:bookmarkEnd w:id="2"/>
      <w:r w:rsidRPr="00CF3B12">
        <w:t>第</w:t>
      </w:r>
      <w:r w:rsidRPr="00CF3B12">
        <w:t>1</w:t>
      </w:r>
      <w:r w:rsidRPr="00CF3B12">
        <w:t>條</w:t>
      </w:r>
    </w:p>
    <w:p w:rsidR="00B339CB" w:rsidRDefault="00B339CB" w:rsidP="0085568A">
      <w:pPr>
        <w:ind w:left="142"/>
        <w:jc w:val="both"/>
      </w:pPr>
      <w:r>
        <w:t xml:space="preserve">　　本辦法依公司法（以下稱本法）第</w:t>
      </w:r>
      <w:hyperlink r:id="rId12" w:anchor="a22b1" w:history="1">
        <w:r w:rsidRPr="005A2928">
          <w:rPr>
            <w:rStyle w:val="a3"/>
            <w:rFonts w:ascii="Times New Roman" w:hAnsi="Times New Roman"/>
          </w:rPr>
          <w:t>二十二</w:t>
        </w:r>
        <w:r w:rsidRPr="005A2928">
          <w:rPr>
            <w:rStyle w:val="a3"/>
            <w:rFonts w:ascii="Times New Roman" w:hAnsi="Times New Roman"/>
          </w:rPr>
          <w:t>條</w:t>
        </w:r>
        <w:r w:rsidRPr="005A2928">
          <w:rPr>
            <w:rStyle w:val="a3"/>
            <w:rFonts w:ascii="Times New Roman" w:hAnsi="Times New Roman"/>
          </w:rPr>
          <w:t>之</w:t>
        </w:r>
        <w:r w:rsidRPr="005A2928">
          <w:rPr>
            <w:rStyle w:val="a3"/>
            <w:rFonts w:ascii="Times New Roman" w:hAnsi="Times New Roman"/>
          </w:rPr>
          <w:t>一</w:t>
        </w:r>
      </w:hyperlink>
      <w:r>
        <w:t>第三項規定訂定之</w:t>
      </w:r>
      <w:r>
        <w:t>。</w:t>
      </w:r>
    </w:p>
    <w:p w:rsidR="00B339CB" w:rsidRDefault="00B339CB" w:rsidP="0085568A">
      <w:pPr>
        <w:pStyle w:val="2"/>
        <w:jc w:val="both"/>
      </w:pPr>
      <w:bookmarkStart w:id="3" w:name="a2"/>
      <w:bookmarkEnd w:id="3"/>
      <w:r>
        <w:t>第</w:t>
      </w:r>
      <w:r>
        <w:t>2</w:t>
      </w:r>
      <w:r>
        <w:t>條</w:t>
      </w:r>
    </w:p>
    <w:p w:rsidR="00B339CB" w:rsidRDefault="00B339CB" w:rsidP="0085568A">
      <w:pPr>
        <w:ind w:left="142"/>
        <w:jc w:val="both"/>
      </w:pPr>
      <w:r>
        <w:t xml:space="preserve">　　中央主管機關為辦理申報資料及其相關作業，得編列預算經費，自行建置資訊平臺</w:t>
      </w:r>
      <w:r>
        <w:t>。</w:t>
      </w:r>
    </w:p>
    <w:p w:rsidR="00B339CB" w:rsidRPr="0085568A" w:rsidRDefault="00B339CB" w:rsidP="0085568A">
      <w:pPr>
        <w:ind w:left="142"/>
        <w:jc w:val="both"/>
        <w:rPr>
          <w:color w:val="17365D"/>
        </w:rPr>
      </w:pPr>
      <w:r w:rsidRPr="0085568A">
        <w:rPr>
          <w:color w:val="17365D"/>
        </w:rPr>
        <w:t xml:space="preserve">　　前項資訊平臺之建置，中央主管機關得委任所屬機關、委託或委辦其他機關、民間機構或團體辦理</w:t>
      </w:r>
      <w:r w:rsidRPr="0085568A">
        <w:rPr>
          <w:color w:val="17365D"/>
        </w:rPr>
        <w:t>。</w:t>
      </w:r>
    </w:p>
    <w:p w:rsidR="00B339CB" w:rsidRDefault="00B339CB" w:rsidP="0085568A">
      <w:pPr>
        <w:pStyle w:val="2"/>
        <w:jc w:val="both"/>
      </w:pPr>
      <w:bookmarkStart w:id="4" w:name="a3"/>
      <w:bookmarkEnd w:id="4"/>
      <w:r>
        <w:t>第</w:t>
      </w:r>
      <w:r>
        <w:t>3</w:t>
      </w:r>
      <w:r>
        <w:t>條</w:t>
      </w:r>
    </w:p>
    <w:p w:rsidR="00B339CB" w:rsidRDefault="00B339CB" w:rsidP="0085568A">
      <w:pPr>
        <w:ind w:left="142"/>
        <w:jc w:val="both"/>
      </w:pPr>
      <w:r>
        <w:t xml:space="preserve">　　中央主管機關未依前條規定建置資訊平臺者，得依職權或申請，指定特定機構（以下稱受指定機構）之資訊平臺辦理申報資料及相關作業，並由該受指定機構負責營運管理</w:t>
      </w:r>
      <w:r>
        <w:t>。</w:t>
      </w:r>
    </w:p>
    <w:p w:rsidR="00B339CB" w:rsidRPr="0085568A" w:rsidRDefault="00B339CB" w:rsidP="0085568A">
      <w:pPr>
        <w:ind w:left="142"/>
        <w:jc w:val="both"/>
        <w:rPr>
          <w:color w:val="17365D"/>
        </w:rPr>
      </w:pPr>
      <w:r w:rsidRPr="0085568A">
        <w:rPr>
          <w:color w:val="17365D"/>
        </w:rPr>
        <w:t xml:space="preserve">　　前項受指定機構，須為具專業性之證券集中保管事業或證券服務事業，並以一家為限</w:t>
      </w:r>
      <w:r w:rsidRPr="0085568A">
        <w:rPr>
          <w:color w:val="17365D"/>
        </w:rPr>
        <w:t>。</w:t>
      </w:r>
    </w:p>
    <w:p w:rsidR="00B339CB" w:rsidRDefault="00B339CB" w:rsidP="0085568A">
      <w:pPr>
        <w:pStyle w:val="2"/>
        <w:jc w:val="both"/>
      </w:pPr>
      <w:bookmarkStart w:id="5" w:name="a4"/>
      <w:bookmarkEnd w:id="5"/>
      <w:r>
        <w:t>第</w:t>
      </w:r>
      <w:r>
        <w:t>4</w:t>
      </w:r>
      <w:r>
        <w:t>條</w:t>
      </w:r>
    </w:p>
    <w:p w:rsidR="00B339CB" w:rsidRDefault="00B339CB" w:rsidP="0085568A">
      <w:pPr>
        <w:ind w:left="142"/>
        <w:jc w:val="both"/>
      </w:pPr>
      <w:r>
        <w:t xml:space="preserve">　　公司應申報其董事、監察人、經理人及持有已發行股份總數或資本總額超過百分之十之股東之下列資料</w:t>
      </w:r>
      <w:r>
        <w:t>：</w:t>
      </w:r>
    </w:p>
    <w:p w:rsidR="00B339CB" w:rsidRDefault="00B339CB" w:rsidP="0085568A">
      <w:pPr>
        <w:ind w:left="142"/>
        <w:jc w:val="both"/>
      </w:pPr>
      <w:r>
        <w:t xml:space="preserve">　　一、姓名或名稱</w:t>
      </w:r>
      <w:r>
        <w:t>。</w:t>
      </w:r>
    </w:p>
    <w:p w:rsidR="00B339CB" w:rsidRDefault="00B339CB" w:rsidP="0085568A">
      <w:pPr>
        <w:ind w:left="142"/>
        <w:jc w:val="both"/>
      </w:pPr>
      <w:r>
        <w:t xml:space="preserve">　　二、國籍</w:t>
      </w:r>
      <w:r>
        <w:t>。</w:t>
      </w:r>
    </w:p>
    <w:p w:rsidR="00B339CB" w:rsidRDefault="00B339CB" w:rsidP="0085568A">
      <w:pPr>
        <w:ind w:left="142"/>
        <w:jc w:val="both"/>
      </w:pPr>
      <w:r>
        <w:t xml:space="preserve">　　三、出生年月日或設立登記之年月日</w:t>
      </w:r>
      <w:r>
        <w:t>。</w:t>
      </w:r>
    </w:p>
    <w:p w:rsidR="00B339CB" w:rsidRDefault="00B339CB" w:rsidP="0085568A">
      <w:pPr>
        <w:ind w:left="142"/>
        <w:jc w:val="both"/>
      </w:pPr>
      <w:r>
        <w:t xml:space="preserve">　　四、身分證明文件號碼或統一編號</w:t>
      </w:r>
      <w:r>
        <w:t>。</w:t>
      </w:r>
    </w:p>
    <w:p w:rsidR="00B339CB" w:rsidRDefault="00B339CB" w:rsidP="0085568A">
      <w:pPr>
        <w:ind w:left="142"/>
        <w:jc w:val="both"/>
      </w:pPr>
      <w:r>
        <w:t xml:space="preserve">　　五、持股數或出資額</w:t>
      </w:r>
      <w:r>
        <w:t>。</w:t>
      </w:r>
    </w:p>
    <w:p w:rsidR="00B339CB" w:rsidRDefault="00B339CB" w:rsidP="0085568A">
      <w:pPr>
        <w:ind w:left="142"/>
        <w:jc w:val="both"/>
      </w:pPr>
      <w:r>
        <w:t xml:space="preserve">　　六、其他中央主管機關指定之事項</w:t>
      </w:r>
      <w:r>
        <w:t>。</w:t>
      </w:r>
    </w:p>
    <w:p w:rsidR="00B339CB" w:rsidRPr="0085568A" w:rsidRDefault="00B339CB" w:rsidP="0085568A">
      <w:pPr>
        <w:ind w:left="142"/>
        <w:jc w:val="both"/>
        <w:rPr>
          <w:color w:val="17365D"/>
        </w:rPr>
      </w:pPr>
      <w:r w:rsidRPr="0085568A">
        <w:rPr>
          <w:color w:val="17365D"/>
        </w:rPr>
        <w:t xml:space="preserve">　　前項所稱經理人，指依本法辦妥公司登記之本公司經理人</w:t>
      </w:r>
      <w:r w:rsidRPr="0085568A">
        <w:rPr>
          <w:color w:val="17365D"/>
        </w:rPr>
        <w:t>。</w:t>
      </w:r>
    </w:p>
    <w:p w:rsidR="00B339CB" w:rsidRDefault="00B339CB" w:rsidP="0085568A">
      <w:pPr>
        <w:pStyle w:val="2"/>
        <w:jc w:val="both"/>
      </w:pPr>
      <w:bookmarkStart w:id="6" w:name="a5"/>
      <w:bookmarkEnd w:id="6"/>
      <w:r>
        <w:t>第</w:t>
      </w:r>
      <w:r>
        <w:t>5</w:t>
      </w:r>
      <w:r>
        <w:t>條</w:t>
      </w:r>
    </w:p>
    <w:p w:rsidR="00B339CB" w:rsidRDefault="00B339CB" w:rsidP="0085568A">
      <w:pPr>
        <w:ind w:left="142"/>
        <w:jc w:val="both"/>
      </w:pPr>
      <w:r>
        <w:t xml:space="preserve">　　前條資料，應由代表公司之負責人向</w:t>
      </w:r>
      <w:hyperlink w:anchor="a2" w:history="1">
        <w:r w:rsidRPr="00E64EBE">
          <w:rPr>
            <w:rStyle w:val="a3"/>
            <w:rFonts w:ascii="Times New Roman" w:hAnsi="Times New Roman"/>
          </w:rPr>
          <w:t>第二條</w:t>
        </w:r>
      </w:hyperlink>
      <w:r>
        <w:t>或</w:t>
      </w:r>
      <w:hyperlink w:anchor="a3" w:history="1">
        <w:r w:rsidRPr="00E64EBE">
          <w:rPr>
            <w:rStyle w:val="a3"/>
            <w:rFonts w:ascii="Times New Roman" w:hAnsi="Times New Roman"/>
          </w:rPr>
          <w:t>第三條</w:t>
        </w:r>
      </w:hyperlink>
      <w:r>
        <w:t>規定之資訊平臺（以下稱資訊平臺）為申報</w:t>
      </w:r>
      <w:r>
        <w:t>。</w:t>
      </w:r>
    </w:p>
    <w:p w:rsidR="00B339CB" w:rsidRPr="0085568A" w:rsidRDefault="00B339CB" w:rsidP="0085568A">
      <w:pPr>
        <w:ind w:left="142"/>
        <w:jc w:val="both"/>
        <w:rPr>
          <w:color w:val="17365D"/>
        </w:rPr>
      </w:pPr>
      <w:r w:rsidRPr="0085568A">
        <w:rPr>
          <w:color w:val="17365D"/>
        </w:rPr>
        <w:t xml:space="preserve">　　前項申報，得委託代理人一人為之</w:t>
      </w:r>
      <w:r w:rsidRPr="0085568A">
        <w:rPr>
          <w:color w:val="17365D"/>
        </w:rPr>
        <w:t>。</w:t>
      </w:r>
    </w:p>
    <w:p w:rsidR="00B339CB" w:rsidRDefault="00B339CB" w:rsidP="0085568A">
      <w:pPr>
        <w:pStyle w:val="2"/>
        <w:jc w:val="both"/>
      </w:pPr>
      <w:bookmarkStart w:id="7" w:name="a6"/>
      <w:bookmarkEnd w:id="7"/>
      <w:r>
        <w:t>第</w:t>
      </w:r>
      <w:r>
        <w:t>6</w:t>
      </w:r>
      <w:r>
        <w:t>條</w:t>
      </w:r>
    </w:p>
    <w:p w:rsidR="00B339CB" w:rsidRDefault="00B339CB" w:rsidP="0085568A">
      <w:pPr>
        <w:ind w:left="142"/>
        <w:jc w:val="both"/>
      </w:pPr>
      <w:r>
        <w:t xml:space="preserve">　　中華民國一百零七年十月三十一日前設立之公司，應於一百零七年十一月一日至一百零八年一月三十一日向資訊平臺首次申報</w:t>
      </w:r>
      <w:hyperlink w:anchor="a4" w:history="1">
        <w:r w:rsidRPr="00E64EBE">
          <w:rPr>
            <w:rStyle w:val="a3"/>
            <w:rFonts w:ascii="Times New Roman" w:hAnsi="Times New Roman"/>
          </w:rPr>
          <w:t>第四條</w:t>
        </w:r>
      </w:hyperlink>
      <w:r>
        <w:t>所定之最新資料</w:t>
      </w:r>
      <w:r>
        <w:t>。</w:t>
      </w:r>
    </w:p>
    <w:p w:rsidR="00B339CB" w:rsidRPr="0085568A" w:rsidRDefault="00B339CB" w:rsidP="0085568A">
      <w:pPr>
        <w:ind w:left="142"/>
        <w:jc w:val="both"/>
        <w:rPr>
          <w:color w:val="17365D"/>
        </w:rPr>
      </w:pPr>
      <w:r w:rsidRPr="0085568A">
        <w:rPr>
          <w:color w:val="17365D"/>
        </w:rPr>
        <w:t xml:space="preserve">　　中華民國一百零七年十一月一日起設立之公司，應於設立後十五日內向資訊平臺申報第四條所定之資料</w:t>
      </w:r>
      <w:r w:rsidRPr="0085568A">
        <w:rPr>
          <w:color w:val="17365D"/>
        </w:rPr>
        <w:t>。</w:t>
      </w:r>
    </w:p>
    <w:p w:rsidR="00B339CB" w:rsidRDefault="00B339CB" w:rsidP="0085568A">
      <w:pPr>
        <w:ind w:left="142"/>
        <w:jc w:val="both"/>
      </w:pPr>
      <w:r>
        <w:lastRenderedPageBreak/>
        <w:t xml:space="preserve">　　依前二項規定申報第四條所定之資料後，資料如有變動者，公司應於變動後十五日內，向資訊平臺辦理變動申報</w:t>
      </w:r>
      <w:r>
        <w:t>。</w:t>
      </w:r>
    </w:p>
    <w:p w:rsidR="00B339CB" w:rsidRPr="0085568A" w:rsidRDefault="00B339CB" w:rsidP="0085568A">
      <w:pPr>
        <w:ind w:left="142"/>
        <w:jc w:val="both"/>
        <w:rPr>
          <w:color w:val="17365D"/>
        </w:rPr>
      </w:pPr>
      <w:r w:rsidRPr="0085568A">
        <w:rPr>
          <w:color w:val="17365D"/>
        </w:rPr>
        <w:t xml:space="preserve">　　公司應於中華民國一百零九年起，每年三月一日至三月三十一日，就截至前一年度十二月三十一日止之第四條所定之資料，向資訊平臺辦理年度申報。但公司於當年度一月一日至三月三十一日已為變動申報者，免為年度申報</w:t>
      </w:r>
      <w:r w:rsidRPr="0085568A">
        <w:rPr>
          <w:color w:val="17365D"/>
        </w:rPr>
        <w:t>。</w:t>
      </w:r>
    </w:p>
    <w:p w:rsidR="00B339CB" w:rsidRDefault="00B339CB" w:rsidP="0085568A">
      <w:pPr>
        <w:pStyle w:val="2"/>
        <w:jc w:val="both"/>
      </w:pPr>
      <w:bookmarkStart w:id="8" w:name="a7"/>
      <w:bookmarkEnd w:id="8"/>
      <w:r>
        <w:t>第</w:t>
      </w:r>
      <w:r>
        <w:t>7</w:t>
      </w:r>
      <w:r>
        <w:t>條</w:t>
      </w:r>
    </w:p>
    <w:p w:rsidR="00B339CB" w:rsidRDefault="00B339CB" w:rsidP="0085568A">
      <w:pPr>
        <w:ind w:left="142"/>
        <w:jc w:val="both"/>
      </w:pPr>
      <w:r>
        <w:t xml:space="preserve">　　本法</w:t>
      </w:r>
      <w:r w:rsidR="006B5BB6">
        <w:t>第</w:t>
      </w:r>
      <w:hyperlink r:id="rId13" w:anchor="a22b1" w:history="1">
        <w:r w:rsidR="006B5BB6" w:rsidRPr="005A2928">
          <w:rPr>
            <w:rStyle w:val="a3"/>
            <w:rFonts w:ascii="Times New Roman" w:hAnsi="Times New Roman"/>
          </w:rPr>
          <w:t>二十二條之一</w:t>
        </w:r>
      </w:hyperlink>
      <w:r>
        <w:t>第一項但書所稱不適用該條規定之公司，以下列各款為限</w:t>
      </w:r>
      <w:r>
        <w:t>：</w:t>
      </w:r>
    </w:p>
    <w:p w:rsidR="00B339CB" w:rsidRDefault="00B339CB" w:rsidP="0085568A">
      <w:pPr>
        <w:ind w:left="142"/>
        <w:jc w:val="both"/>
      </w:pPr>
      <w:r>
        <w:t xml:space="preserve">　　一、國營事業管理法</w:t>
      </w:r>
      <w:hyperlink r:id="rId14" w:anchor="a3" w:history="1">
        <w:r w:rsidRPr="00E64EBE">
          <w:rPr>
            <w:rStyle w:val="a3"/>
            <w:rFonts w:ascii="Times New Roman" w:hAnsi="Times New Roman"/>
          </w:rPr>
          <w:t>第</w:t>
        </w:r>
        <w:r w:rsidRPr="00E64EBE">
          <w:rPr>
            <w:rStyle w:val="a3"/>
            <w:rFonts w:ascii="Times New Roman" w:hAnsi="Times New Roman"/>
          </w:rPr>
          <w:t>三</w:t>
        </w:r>
        <w:r w:rsidRPr="00E64EBE">
          <w:rPr>
            <w:rStyle w:val="a3"/>
            <w:rFonts w:ascii="Times New Roman" w:hAnsi="Times New Roman"/>
          </w:rPr>
          <w:t>條</w:t>
        </w:r>
      </w:hyperlink>
      <w:r>
        <w:t>第一項所定之公司</w:t>
      </w:r>
      <w:r>
        <w:t>。</w:t>
      </w:r>
    </w:p>
    <w:p w:rsidR="00B339CB" w:rsidRDefault="00B339CB" w:rsidP="0085568A">
      <w:pPr>
        <w:ind w:left="142"/>
        <w:jc w:val="both"/>
      </w:pPr>
      <w:r>
        <w:t xml:space="preserve">　　二、公開發行股票之公司</w:t>
      </w:r>
      <w:r>
        <w:t>。</w:t>
      </w:r>
    </w:p>
    <w:p w:rsidR="00B339CB" w:rsidRDefault="00B339CB" w:rsidP="0085568A">
      <w:pPr>
        <w:ind w:left="142"/>
        <w:jc w:val="both"/>
      </w:pPr>
      <w:r>
        <w:t xml:space="preserve">　　三、其他經中央主管機關會同法務部公告之公司</w:t>
      </w:r>
      <w:r>
        <w:t>。</w:t>
      </w:r>
    </w:p>
    <w:p w:rsidR="00B339CB" w:rsidRDefault="00B339CB" w:rsidP="0085568A">
      <w:pPr>
        <w:pStyle w:val="2"/>
        <w:jc w:val="both"/>
      </w:pPr>
      <w:bookmarkStart w:id="9" w:name="a8"/>
      <w:bookmarkEnd w:id="9"/>
      <w:r>
        <w:t>第</w:t>
      </w:r>
      <w:r>
        <w:t>8</w:t>
      </w:r>
      <w:r>
        <w:t>條</w:t>
      </w:r>
    </w:p>
    <w:p w:rsidR="00B339CB" w:rsidRDefault="00B339CB" w:rsidP="0085568A">
      <w:pPr>
        <w:ind w:left="142"/>
        <w:jc w:val="both"/>
      </w:pPr>
      <w:r>
        <w:t xml:space="preserve">　　公司向資訊平臺申報資料時，應以電子方式為之，且應使用經中央主管機關認可之電子簽章或身分識別方式，並依規定之軟體、格式、類型及方式傳送電子文件</w:t>
      </w:r>
      <w:r>
        <w:t>。</w:t>
      </w:r>
    </w:p>
    <w:p w:rsidR="00B339CB" w:rsidRDefault="00B339CB" w:rsidP="0085568A">
      <w:pPr>
        <w:pStyle w:val="2"/>
        <w:jc w:val="both"/>
      </w:pPr>
      <w:bookmarkStart w:id="10" w:name="a9"/>
      <w:bookmarkEnd w:id="10"/>
      <w:r>
        <w:t>第</w:t>
      </w:r>
      <w:r>
        <w:t>9</w:t>
      </w:r>
      <w:r>
        <w:t>條</w:t>
      </w:r>
    </w:p>
    <w:p w:rsidR="00B339CB" w:rsidRDefault="00B339CB" w:rsidP="0085568A">
      <w:pPr>
        <w:ind w:left="142"/>
        <w:jc w:val="both"/>
      </w:pPr>
      <w:r>
        <w:t xml:space="preserve">　　為利申報作業之運作，或為利洗錢防制之目的而有充實資訊平臺資料完整性之必要者，中央主管機關經會商法務部及相關主管機關後，得向相關主管機關取得必要之資料；受指定機構報經中央主管機關同意辦理者，亦同</w:t>
      </w:r>
      <w:r>
        <w:t>。</w:t>
      </w:r>
    </w:p>
    <w:p w:rsidR="00B339CB" w:rsidRDefault="00B339CB" w:rsidP="0085568A">
      <w:pPr>
        <w:pStyle w:val="2"/>
        <w:jc w:val="both"/>
      </w:pPr>
      <w:bookmarkStart w:id="11" w:name="a10"/>
      <w:bookmarkEnd w:id="11"/>
      <w:r>
        <w:t>第</w:t>
      </w:r>
      <w:r>
        <w:t>10</w:t>
      </w:r>
      <w:r>
        <w:t>條</w:t>
      </w:r>
    </w:p>
    <w:p w:rsidR="00B339CB" w:rsidRDefault="00B339CB" w:rsidP="0085568A">
      <w:pPr>
        <w:ind w:left="142"/>
        <w:jc w:val="both"/>
      </w:pPr>
      <w:r>
        <w:t xml:space="preserve">　　中央主管機關或受指定機構因履行本辦法所定業務而保有之資料，應有適當之資料保護機制</w:t>
      </w:r>
      <w:r>
        <w:t>。</w:t>
      </w:r>
    </w:p>
    <w:p w:rsidR="00B339CB" w:rsidRPr="0085568A" w:rsidRDefault="00B339CB" w:rsidP="0085568A">
      <w:pPr>
        <w:ind w:left="142"/>
        <w:jc w:val="both"/>
        <w:rPr>
          <w:color w:val="17365D"/>
        </w:rPr>
      </w:pPr>
      <w:r w:rsidRPr="0085568A">
        <w:rPr>
          <w:color w:val="17365D"/>
        </w:rPr>
        <w:t xml:space="preserve">　　資料當事人對前項資料之查詢或其他權利之主張，應向公司為之</w:t>
      </w:r>
      <w:r w:rsidRPr="0085568A">
        <w:rPr>
          <w:color w:val="17365D"/>
        </w:rPr>
        <w:t>。</w:t>
      </w:r>
    </w:p>
    <w:p w:rsidR="00B339CB" w:rsidRDefault="00B339CB" w:rsidP="0085568A">
      <w:pPr>
        <w:pStyle w:val="2"/>
        <w:jc w:val="both"/>
      </w:pPr>
      <w:bookmarkStart w:id="12" w:name="a11"/>
      <w:bookmarkEnd w:id="12"/>
      <w:r>
        <w:t>第</w:t>
      </w:r>
      <w:r>
        <w:t>11</w:t>
      </w:r>
      <w:r>
        <w:t>條</w:t>
      </w:r>
    </w:p>
    <w:p w:rsidR="00B339CB" w:rsidRDefault="00B339CB" w:rsidP="0085568A">
      <w:pPr>
        <w:ind w:left="142"/>
        <w:jc w:val="both"/>
      </w:pPr>
      <w:r>
        <w:t xml:space="preserve">　　資訊平臺依本辦法保有之資料，除本辦法或其他法令另有規定外，應保守秘密</w:t>
      </w:r>
      <w:r>
        <w:t>。</w:t>
      </w:r>
    </w:p>
    <w:p w:rsidR="00B339CB" w:rsidRPr="0085568A" w:rsidRDefault="00B339CB" w:rsidP="0085568A">
      <w:pPr>
        <w:ind w:left="142"/>
        <w:jc w:val="both"/>
        <w:rPr>
          <w:color w:val="17365D"/>
        </w:rPr>
      </w:pPr>
      <w:r w:rsidRPr="0085568A">
        <w:rPr>
          <w:color w:val="17365D"/>
        </w:rPr>
        <w:t xml:space="preserve">　　行政機關、檢察機關或法院為辦理、調查或審理洗錢防制之案件，而有必要使用前項所定之資料者，應敘明事由，向資訊平臺查詢或取得前項所定之資料。受理有關本法</w:t>
      </w:r>
      <w:r w:rsidR="006B5BB6">
        <w:t>第</w:t>
      </w:r>
      <w:hyperlink r:id="rId15" w:anchor="a22b1" w:history="1">
        <w:r w:rsidR="006B5BB6" w:rsidRPr="005A2928">
          <w:rPr>
            <w:rStyle w:val="a3"/>
            <w:rFonts w:ascii="Times New Roman" w:hAnsi="Times New Roman"/>
          </w:rPr>
          <w:t>二十二條之一</w:t>
        </w:r>
      </w:hyperlink>
      <w:r w:rsidRPr="0085568A">
        <w:rPr>
          <w:color w:val="17365D"/>
        </w:rPr>
        <w:t>案件之訴願機關、訴訟機關，亦同</w:t>
      </w:r>
      <w:r w:rsidRPr="0085568A">
        <w:rPr>
          <w:color w:val="17365D"/>
        </w:rPr>
        <w:t>。</w:t>
      </w:r>
    </w:p>
    <w:p w:rsidR="00B339CB" w:rsidRDefault="00B339CB" w:rsidP="0085568A">
      <w:pPr>
        <w:ind w:left="142"/>
        <w:jc w:val="both"/>
      </w:pPr>
      <w:r>
        <w:t xml:space="preserve">　　洗錢防制法</w:t>
      </w:r>
      <w:hyperlink r:id="rId16" w:anchor="d5" w:history="1">
        <w:r w:rsidRPr="00A361C9">
          <w:rPr>
            <w:rStyle w:val="a3"/>
            <w:rFonts w:ascii="Times New Roman" w:hAnsi="Times New Roman"/>
          </w:rPr>
          <w:t>第五條</w:t>
        </w:r>
      </w:hyperlink>
      <w:r>
        <w:t>所定之金融機構或指定之非金融事業或人員，為依</w:t>
      </w:r>
      <w:hyperlink r:id="rId17" w:history="1">
        <w:r w:rsidRPr="00A361C9">
          <w:rPr>
            <w:rStyle w:val="a3"/>
            <w:rFonts w:ascii="Times New Roman" w:hAnsi="Times New Roman"/>
          </w:rPr>
          <w:t>洗錢</w:t>
        </w:r>
        <w:r w:rsidRPr="00A361C9">
          <w:rPr>
            <w:rStyle w:val="a3"/>
            <w:rFonts w:ascii="Times New Roman" w:hAnsi="Times New Roman"/>
          </w:rPr>
          <w:t>防</w:t>
        </w:r>
        <w:r w:rsidRPr="00A361C9">
          <w:rPr>
            <w:rStyle w:val="a3"/>
            <w:rFonts w:ascii="Times New Roman" w:hAnsi="Times New Roman"/>
          </w:rPr>
          <w:t>制法</w:t>
        </w:r>
      </w:hyperlink>
      <w:r>
        <w:t>進行確認客戶身分之程序，而有必要使用第一項所定之資料者，應經其所屬公會認可其資格，並於每次查詢或取得該資料時，於資訊平臺敘明具體個案之查詢範圍及事由。但洗錢防制</w:t>
      </w:r>
      <w:r w:rsidR="00A361C9">
        <w:t>法</w:t>
      </w:r>
      <w:hyperlink r:id="rId18" w:anchor="d5" w:history="1">
        <w:r w:rsidR="00A361C9" w:rsidRPr="00A361C9">
          <w:rPr>
            <w:rStyle w:val="a3"/>
            <w:rFonts w:ascii="Times New Roman" w:hAnsi="Times New Roman"/>
          </w:rPr>
          <w:t>第五條</w:t>
        </w:r>
      </w:hyperlink>
      <w:r>
        <w:t>第一項所定之金融機構，或第三項所定之指定之非金融事業或人員無所屬公會者，於</w:t>
      </w:r>
      <w:hyperlink w:anchor="a2" w:history="1">
        <w:hyperlink w:anchor="a2" w:history="1">
          <w:r w:rsidR="002B03E5" w:rsidRPr="00E64EBE">
            <w:rPr>
              <w:rStyle w:val="a3"/>
              <w:rFonts w:ascii="Times New Roman" w:hAnsi="Times New Roman"/>
            </w:rPr>
            <w:t>第二條</w:t>
          </w:r>
        </w:hyperlink>
      </w:hyperlink>
      <w:r>
        <w:t>規定之資訊平臺，得由其目的事業主管機關認可其資格；於</w:t>
      </w:r>
      <w:hyperlink w:anchor="a3" w:history="1">
        <w:r w:rsidR="002B03E5" w:rsidRPr="00E64EBE">
          <w:rPr>
            <w:rStyle w:val="a3"/>
            <w:rFonts w:ascii="Times New Roman" w:hAnsi="Times New Roman"/>
          </w:rPr>
          <w:t>第三條</w:t>
        </w:r>
      </w:hyperlink>
      <w:r>
        <w:t>規定之資訊平臺，得由受指定機構認可其資格</w:t>
      </w:r>
      <w:r>
        <w:t>。</w:t>
      </w:r>
    </w:p>
    <w:p w:rsidR="00B339CB" w:rsidRPr="0085568A" w:rsidRDefault="00B339CB" w:rsidP="0085568A">
      <w:pPr>
        <w:ind w:left="142"/>
        <w:jc w:val="both"/>
        <w:rPr>
          <w:color w:val="17365D"/>
        </w:rPr>
      </w:pPr>
      <w:r w:rsidRPr="0085568A">
        <w:rPr>
          <w:color w:val="17365D"/>
        </w:rPr>
        <w:t xml:space="preserve">　　前項情形，資訊平臺就該資料，得於必要範圍內為適當之遮蔽</w:t>
      </w:r>
      <w:r w:rsidRPr="0085568A">
        <w:rPr>
          <w:color w:val="17365D"/>
        </w:rPr>
        <w:t>。</w:t>
      </w:r>
    </w:p>
    <w:p w:rsidR="00B339CB" w:rsidRDefault="00B339CB" w:rsidP="0085568A">
      <w:pPr>
        <w:pStyle w:val="2"/>
        <w:jc w:val="both"/>
      </w:pPr>
      <w:bookmarkStart w:id="13" w:name="a12"/>
      <w:bookmarkEnd w:id="13"/>
      <w:r>
        <w:t>第</w:t>
      </w:r>
      <w:r>
        <w:t>12</w:t>
      </w:r>
      <w:r>
        <w:t>條</w:t>
      </w:r>
    </w:p>
    <w:p w:rsidR="00B339CB" w:rsidRDefault="00B339CB" w:rsidP="0085568A">
      <w:pPr>
        <w:ind w:left="142"/>
        <w:jc w:val="both"/>
      </w:pPr>
      <w:r>
        <w:t xml:space="preserve">　　依</w:t>
      </w:r>
      <w:hyperlink w:anchor="a2" w:history="1">
        <w:r w:rsidR="002B03E5" w:rsidRPr="00E64EBE">
          <w:rPr>
            <w:rStyle w:val="a3"/>
            <w:rFonts w:ascii="Times New Roman" w:hAnsi="Times New Roman"/>
          </w:rPr>
          <w:t>第二條</w:t>
        </w:r>
      </w:hyperlink>
      <w:r>
        <w:t>規定建置之資訊平臺提供資料或查詢等服務，應依</w:t>
      </w:r>
      <w:hyperlink r:id="rId19" w:history="1">
        <w:r w:rsidRPr="005443D2">
          <w:rPr>
            <w:rStyle w:val="a3"/>
            <w:rFonts w:ascii="Times New Roman" w:hAnsi="Times New Roman"/>
          </w:rPr>
          <w:t>規費法</w:t>
        </w:r>
      </w:hyperlink>
      <w:r>
        <w:t>訂定收費基準</w:t>
      </w:r>
      <w:r>
        <w:t>。</w:t>
      </w:r>
    </w:p>
    <w:p w:rsidR="00B339CB" w:rsidRDefault="00B339CB" w:rsidP="0085568A">
      <w:pPr>
        <w:pStyle w:val="2"/>
        <w:jc w:val="both"/>
      </w:pPr>
      <w:bookmarkStart w:id="14" w:name="a13"/>
      <w:bookmarkEnd w:id="14"/>
      <w:r>
        <w:t>第</w:t>
      </w:r>
      <w:r>
        <w:t>13</w:t>
      </w:r>
      <w:r>
        <w:t>條</w:t>
      </w:r>
    </w:p>
    <w:p w:rsidR="00B339CB" w:rsidRPr="00F66275" w:rsidRDefault="00F66275" w:rsidP="0085568A">
      <w:pPr>
        <w:ind w:left="142"/>
        <w:jc w:val="both"/>
      </w:pPr>
      <w:r w:rsidRPr="00F66275">
        <w:t xml:space="preserve">　　</w:t>
      </w:r>
      <w:hyperlink w:anchor="a3" w:history="1">
        <w:r w:rsidR="002B03E5" w:rsidRPr="00E64EBE">
          <w:rPr>
            <w:rStyle w:val="a3"/>
            <w:rFonts w:ascii="Times New Roman" w:hAnsi="Times New Roman"/>
          </w:rPr>
          <w:t>第三條</w:t>
        </w:r>
      </w:hyperlink>
      <w:r w:rsidR="00B339CB" w:rsidRPr="00F66275">
        <w:t>規定之受指定機構提供資料或查詢等服務需收費者，該受指定機構應擬定收費基準，併同收費項目、對象及費額之評估分析報告等相關資料，報請中央主管機關核定後實施。</w:t>
      </w:r>
    </w:p>
    <w:p w:rsidR="00B339CB" w:rsidRPr="0085568A" w:rsidRDefault="00B339CB" w:rsidP="0085568A">
      <w:pPr>
        <w:ind w:left="142"/>
        <w:jc w:val="both"/>
        <w:rPr>
          <w:color w:val="17365D"/>
        </w:rPr>
      </w:pPr>
      <w:r w:rsidRPr="0085568A">
        <w:rPr>
          <w:color w:val="17365D"/>
        </w:rPr>
        <w:t xml:space="preserve">　　中央主管機關得命受指定機構定期檢討其收費基準、項目、對象及費額等，並於必要時作適當之調整</w:t>
      </w:r>
      <w:r w:rsidRPr="0085568A">
        <w:rPr>
          <w:color w:val="17365D"/>
        </w:rPr>
        <w:t>。</w:t>
      </w:r>
    </w:p>
    <w:p w:rsidR="00B339CB" w:rsidRDefault="00B339CB" w:rsidP="0085568A">
      <w:pPr>
        <w:pStyle w:val="2"/>
        <w:jc w:val="both"/>
      </w:pPr>
      <w:bookmarkStart w:id="15" w:name="a14"/>
      <w:bookmarkEnd w:id="15"/>
      <w:r>
        <w:lastRenderedPageBreak/>
        <w:t>第</w:t>
      </w:r>
      <w:r>
        <w:t>14</w:t>
      </w:r>
      <w:r>
        <w:t>條</w:t>
      </w:r>
    </w:p>
    <w:p w:rsidR="00B339CB" w:rsidRDefault="00B339CB" w:rsidP="0085568A">
      <w:pPr>
        <w:ind w:left="142"/>
        <w:jc w:val="both"/>
      </w:pPr>
      <w:r>
        <w:t xml:space="preserve">　　中央主管機關得視實際需要，對受指定機構實施定期或不定期檢查，並得要求其報告業務、資訊安全及資料保護情形，及提供業務經營、財務收支文件及其他相關資料，受指定機構不得規避、妨礙或拒絕，並應配合改善相關缺失</w:t>
      </w:r>
      <w:r>
        <w:t>。</w:t>
      </w:r>
    </w:p>
    <w:p w:rsidR="00B339CB" w:rsidRPr="0085568A" w:rsidRDefault="00B339CB" w:rsidP="0085568A">
      <w:pPr>
        <w:ind w:left="142"/>
        <w:jc w:val="both"/>
        <w:rPr>
          <w:color w:val="17365D"/>
        </w:rPr>
      </w:pPr>
      <w:r w:rsidRPr="0085568A">
        <w:rPr>
          <w:color w:val="17365D"/>
        </w:rPr>
        <w:t xml:space="preserve">　　受指定機構違反本辦法情節重大、發生重大財務困難或有其他顯不適宜經營本辦法指定之業務時，中央主管機關經會商法務部及證券主管機關後，得廢止其指定</w:t>
      </w:r>
      <w:r w:rsidRPr="0085568A">
        <w:rPr>
          <w:color w:val="17365D"/>
        </w:rPr>
        <w:t>。</w:t>
      </w:r>
    </w:p>
    <w:p w:rsidR="00B339CB" w:rsidRDefault="00B339CB" w:rsidP="0085568A">
      <w:pPr>
        <w:ind w:left="142"/>
        <w:jc w:val="both"/>
      </w:pPr>
      <w:r>
        <w:t xml:space="preserve">　　前項情形，經廢止指定之機構應於中央主管機關所定期限內，將經營本辦法業務而取得之文件、資料及檔案，完整移交中央主管機關或中央主管機關指定之其他機構，該經廢止指定之機構不得規避、妨礙或拒絕</w:t>
      </w:r>
      <w:r>
        <w:t>。</w:t>
      </w:r>
    </w:p>
    <w:p w:rsidR="00B339CB" w:rsidRDefault="00B339CB" w:rsidP="0085568A">
      <w:pPr>
        <w:pStyle w:val="2"/>
        <w:jc w:val="both"/>
      </w:pPr>
      <w:bookmarkStart w:id="16" w:name="a15"/>
      <w:bookmarkEnd w:id="16"/>
      <w:r>
        <w:t>第</w:t>
      </w:r>
      <w:r>
        <w:t>15</w:t>
      </w:r>
      <w:r>
        <w:t>條</w:t>
      </w:r>
    </w:p>
    <w:p w:rsidR="00B339CB" w:rsidRDefault="00B339CB" w:rsidP="0085568A">
      <w:pPr>
        <w:ind w:left="142"/>
        <w:jc w:val="both"/>
      </w:pPr>
      <w:r>
        <w:t xml:space="preserve">　　中央主管機關應考量涉及洗錢活動之風險程度，定期查核公司申報資料之正確性、及時性及完整性</w:t>
      </w:r>
      <w:r>
        <w:t>。</w:t>
      </w:r>
    </w:p>
    <w:p w:rsidR="00B339CB" w:rsidRDefault="00B339CB" w:rsidP="0085568A">
      <w:pPr>
        <w:pStyle w:val="2"/>
        <w:jc w:val="both"/>
      </w:pPr>
      <w:bookmarkStart w:id="17" w:name="a16"/>
      <w:bookmarkEnd w:id="17"/>
      <w:r>
        <w:t>第</w:t>
      </w:r>
      <w:r>
        <w:t>16</w:t>
      </w:r>
      <w:r>
        <w:t>條</w:t>
      </w:r>
    </w:p>
    <w:p w:rsidR="00B339CB" w:rsidRDefault="00B339CB" w:rsidP="0085568A">
      <w:pPr>
        <w:ind w:left="142"/>
        <w:jc w:val="both"/>
      </w:pPr>
      <w:r>
        <w:t xml:space="preserve">　　中央主管機關辦理本辦法申報業務之查核，得隨時要求公司提出公司股東名簿及相關文件</w:t>
      </w:r>
      <w:r>
        <w:t>。</w:t>
      </w:r>
    </w:p>
    <w:p w:rsidR="00B339CB" w:rsidRPr="0085568A" w:rsidRDefault="00B339CB" w:rsidP="0085568A">
      <w:pPr>
        <w:ind w:left="142"/>
        <w:jc w:val="both"/>
        <w:rPr>
          <w:color w:val="17365D"/>
        </w:rPr>
      </w:pPr>
      <w:r w:rsidRPr="0085568A">
        <w:rPr>
          <w:color w:val="17365D"/>
        </w:rPr>
        <w:t xml:space="preserve">　　中央主管機關於前項之查核，得請求法務部或相關主管機關協助</w:t>
      </w:r>
      <w:r w:rsidRPr="0085568A">
        <w:rPr>
          <w:color w:val="17365D"/>
        </w:rPr>
        <w:t>。</w:t>
      </w:r>
    </w:p>
    <w:p w:rsidR="00B339CB" w:rsidRDefault="00B339CB" w:rsidP="0085568A">
      <w:pPr>
        <w:ind w:left="142"/>
        <w:jc w:val="both"/>
      </w:pPr>
      <w:r>
        <w:t xml:space="preserve">　　中央主管機關於第一項之查核，得委任所屬機關、委託或委辦其他機關、民間機構或團體辦理</w:t>
      </w:r>
      <w:r>
        <w:t>。</w:t>
      </w:r>
    </w:p>
    <w:p w:rsidR="00B339CB" w:rsidRPr="0085568A" w:rsidRDefault="00B339CB" w:rsidP="0085568A">
      <w:pPr>
        <w:ind w:left="142"/>
        <w:jc w:val="both"/>
        <w:rPr>
          <w:color w:val="17365D"/>
        </w:rPr>
      </w:pPr>
      <w:r w:rsidRPr="0085568A">
        <w:rPr>
          <w:color w:val="17365D"/>
        </w:rPr>
        <w:t xml:space="preserve">　　前項受委任、委託或委辦之機關、民間機構或團體應保守秘密</w:t>
      </w:r>
      <w:r w:rsidRPr="0085568A">
        <w:rPr>
          <w:color w:val="17365D"/>
        </w:rPr>
        <w:t>。</w:t>
      </w:r>
    </w:p>
    <w:p w:rsidR="00B339CB" w:rsidRDefault="00B339CB" w:rsidP="0085568A">
      <w:pPr>
        <w:pStyle w:val="2"/>
        <w:jc w:val="both"/>
      </w:pPr>
      <w:bookmarkStart w:id="18" w:name="a17"/>
      <w:bookmarkEnd w:id="18"/>
      <w:r>
        <w:t>第</w:t>
      </w:r>
      <w:r>
        <w:t>17</w:t>
      </w:r>
      <w:r>
        <w:t>條</w:t>
      </w:r>
    </w:p>
    <w:p w:rsidR="00B339CB" w:rsidRDefault="00B339CB" w:rsidP="0085568A">
      <w:pPr>
        <w:ind w:left="142"/>
        <w:jc w:val="both"/>
      </w:pPr>
      <w:r>
        <w:t xml:space="preserve">　　公司未依本辦法規定申報或申報之資料不實者，應依本法</w:t>
      </w:r>
      <w:r w:rsidR="006B5BB6">
        <w:t>第</w:t>
      </w:r>
      <w:hyperlink r:id="rId20" w:anchor="a22b1" w:history="1">
        <w:r w:rsidR="006B5BB6" w:rsidRPr="005A2928">
          <w:rPr>
            <w:rStyle w:val="a3"/>
            <w:rFonts w:ascii="Times New Roman" w:hAnsi="Times New Roman"/>
          </w:rPr>
          <w:t>二十二條之一</w:t>
        </w:r>
      </w:hyperlink>
      <w:r>
        <w:t xml:space="preserve"> </w:t>
      </w:r>
      <w:r>
        <w:t>第四項規定裁處，如有處罰者，並應依該條第五項規定於資訊平臺註記之。</w:t>
      </w:r>
    </w:p>
    <w:p w:rsidR="00B339CB" w:rsidRDefault="00B339CB" w:rsidP="0085568A">
      <w:pPr>
        <w:pStyle w:val="2"/>
        <w:jc w:val="both"/>
      </w:pPr>
      <w:bookmarkStart w:id="19" w:name="a18"/>
      <w:bookmarkEnd w:id="19"/>
      <w:r>
        <w:t>第</w:t>
      </w:r>
      <w:r>
        <w:t>18</w:t>
      </w:r>
      <w:r>
        <w:t>條</w:t>
      </w:r>
    </w:p>
    <w:p w:rsidR="0045425A" w:rsidRPr="001C7001" w:rsidRDefault="00B339CB" w:rsidP="0085568A">
      <w:pPr>
        <w:ind w:leftChars="75" w:left="150"/>
        <w:jc w:val="both"/>
        <w:rPr>
          <w:rFonts w:ascii="Arial Unicode MS" w:hAnsi="Arial Unicode MS"/>
        </w:rPr>
      </w:pPr>
      <w:r>
        <w:t xml:space="preserve">　　本辦法自中華民國一百零七年十一月一日施行。</w:t>
      </w:r>
    </w:p>
    <w:p w:rsidR="00765234" w:rsidRPr="00765234" w:rsidRDefault="00765234" w:rsidP="008117F1">
      <w:pPr>
        <w:ind w:leftChars="75" w:left="150" w:firstLineChars="200" w:firstLine="400"/>
        <w:jc w:val="both"/>
        <w:rPr>
          <w:rFonts w:ascii="Arial Unicode MS" w:hAnsi="Arial Unicode MS"/>
        </w:rPr>
      </w:pPr>
    </w:p>
    <w:p w:rsidR="00E97591" w:rsidRPr="001C7001" w:rsidRDefault="00E97591" w:rsidP="00E97591">
      <w:pPr>
        <w:ind w:leftChars="75" w:left="150"/>
        <w:jc w:val="both"/>
        <w:rPr>
          <w:rFonts w:ascii="Arial Unicode MS" w:hAnsi="Arial Unicode MS"/>
        </w:rPr>
      </w:pPr>
    </w:p>
    <w:p w:rsidR="0005122D" w:rsidRPr="00C1655B" w:rsidRDefault="0005122D" w:rsidP="0005122D">
      <w:pPr>
        <w:ind w:leftChars="50" w:left="100"/>
        <w:jc w:val="both"/>
        <w:rPr>
          <w:color w:val="808000"/>
          <w:szCs w:val="20"/>
        </w:rPr>
      </w:pPr>
      <w:r w:rsidRPr="00C1655B">
        <w:rPr>
          <w:rFonts w:hint="eastAsia"/>
          <w:color w:val="5F5F5F"/>
          <w:sz w:val="18"/>
        </w:rPr>
        <w:t>。。。。。。。。。。。。。。。。。。。。。。。。。。。。。。。。。。。。。。。。。。。。。。。。。。</w:t>
      </w:r>
      <w:r w:rsidR="002A0916">
        <w:rPr>
          <w:rStyle w:val="a3"/>
          <w:rFonts w:ascii="Arial Unicode MS" w:hAnsi="Arial Unicode MS"/>
          <w:sz w:val="18"/>
        </w:rPr>
        <w:fldChar w:fldCharType="begin"/>
      </w:r>
      <w:r w:rsidR="002A0916">
        <w:rPr>
          <w:rStyle w:val="a3"/>
          <w:rFonts w:ascii="Arial Unicode MS" w:hAnsi="Arial Unicode MS"/>
          <w:sz w:val="18"/>
        </w:rPr>
        <w:instrText xml:space="preserve"> HYPERLINK \l "top" </w:instrText>
      </w:r>
      <w:r w:rsidR="002A0916">
        <w:rPr>
          <w:rStyle w:val="a3"/>
          <w:rFonts w:ascii="Arial Unicode MS" w:hAnsi="Arial Unicode MS"/>
          <w:sz w:val="18"/>
        </w:rPr>
        <w:fldChar w:fldCharType="separate"/>
      </w:r>
      <w:r w:rsidRPr="00C1655B">
        <w:rPr>
          <w:rStyle w:val="a3"/>
          <w:rFonts w:ascii="Arial Unicode MS" w:hAnsi="Arial Unicode MS" w:hint="eastAsia"/>
          <w:sz w:val="18"/>
        </w:rPr>
        <w:t>回首頁</w:t>
      </w:r>
      <w:r w:rsidR="002A0916">
        <w:rPr>
          <w:rStyle w:val="a3"/>
          <w:rFonts w:ascii="Arial Unicode MS" w:hAnsi="Arial Unicode MS"/>
          <w:sz w:val="18"/>
        </w:rPr>
        <w:fldChar w:fldCharType="end"/>
      </w:r>
      <w:r w:rsidRPr="00C1655B">
        <w:rPr>
          <w:rStyle w:val="a3"/>
          <w:rFonts w:ascii="Arial Unicode MS" w:hAnsi="Arial Unicode MS" w:hint="eastAsia"/>
          <w:b/>
          <w:sz w:val="18"/>
          <w:u w:val="none"/>
        </w:rPr>
        <w:t>〉〉</w:t>
      </w:r>
    </w:p>
    <w:p w:rsidR="0005122D" w:rsidRPr="00A51BA6" w:rsidRDefault="0005122D" w:rsidP="0005122D">
      <w:pPr>
        <w:ind w:leftChars="71" w:left="142"/>
        <w:jc w:val="both"/>
        <w:rPr>
          <w:rFonts w:ascii="Arial Unicode MS" w:hAnsi="Arial Unicode MS"/>
          <w:color w:val="808080"/>
          <w:sz w:val="18"/>
          <w:szCs w:val="2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D2412B">
          <w:rPr>
            <w:rStyle w:val="a3"/>
            <w:rFonts w:ascii="Arial Unicode MS" w:hAnsi="Arial Unicode MS"/>
            <w:sz w:val="18"/>
            <w:szCs w:val="20"/>
          </w:rPr>
          <w:t>告知</w:t>
        </w:r>
      </w:hyperlink>
      <w:r w:rsidRPr="003D460F">
        <w:rPr>
          <w:rFonts w:hint="eastAsia"/>
          <w:color w:val="5F5F5F"/>
          <w:sz w:val="18"/>
          <w:szCs w:val="20"/>
        </w:rPr>
        <w:t>，謝謝！</w:t>
      </w:r>
    </w:p>
    <w:p w:rsidR="0045425A" w:rsidRPr="00E97591" w:rsidRDefault="0045425A" w:rsidP="0005122D">
      <w:pPr>
        <w:ind w:leftChars="50" w:left="100"/>
        <w:jc w:val="both"/>
        <w:rPr>
          <w:rFonts w:ascii="Arial Unicode MS" w:hAnsi="Arial Unicode MS"/>
          <w:color w:val="666699"/>
        </w:rPr>
      </w:pPr>
    </w:p>
    <w:sectPr w:rsidR="0045425A" w:rsidRPr="00E97591">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916" w:rsidRDefault="002A0916">
      <w:r>
        <w:separator/>
      </w:r>
    </w:p>
  </w:endnote>
  <w:endnote w:type="continuationSeparator" w:id="0">
    <w:p w:rsidR="002A0916" w:rsidRDefault="002A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5122D">
      <w:rPr>
        <w:rStyle w:val="a7"/>
        <w:noProof/>
      </w:rPr>
      <w:t>1</w:t>
    </w:r>
    <w:r>
      <w:rPr>
        <w:rStyle w:val="a7"/>
      </w:rPr>
      <w:fldChar w:fldCharType="end"/>
    </w:r>
  </w:p>
  <w:p w:rsidR="008013F3" w:rsidRPr="00464EE7" w:rsidRDefault="003030E3">
    <w:pPr>
      <w:pStyle w:val="a6"/>
      <w:ind w:right="360"/>
      <w:jc w:val="right"/>
      <w:rPr>
        <w:rFonts w:ascii="Arial Unicode MS" w:hAnsi="Arial Unicode MS"/>
        <w:sz w:val="18"/>
      </w:rPr>
    </w:pPr>
    <w:r>
      <w:rPr>
        <w:rFonts w:ascii="Arial Unicode MS" w:hAnsi="Arial Unicode MS" w:hint="eastAsia"/>
        <w:sz w:val="18"/>
      </w:rPr>
      <w:t>〈〈</w:t>
    </w:r>
    <w:r w:rsidR="00F66275" w:rsidRPr="00F66275">
      <w:rPr>
        <w:rFonts w:ascii="Arial Unicode MS" w:hAnsi="Arial Unicode MS" w:hint="eastAsia"/>
        <w:sz w:val="18"/>
      </w:rPr>
      <w:t>公司法第二十二條之一資料申報及管理辦法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916" w:rsidRDefault="002A0916">
      <w:r>
        <w:separator/>
      </w:r>
    </w:p>
  </w:footnote>
  <w:footnote w:type="continuationSeparator" w:id="0">
    <w:p w:rsidR="002A0916" w:rsidRDefault="002A0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41D68"/>
    <w:rsid w:val="000509F5"/>
    <w:rsid w:val="0005122D"/>
    <w:rsid w:val="00075E1C"/>
    <w:rsid w:val="000A5999"/>
    <w:rsid w:val="00104FBB"/>
    <w:rsid w:val="00144724"/>
    <w:rsid w:val="001605C6"/>
    <w:rsid w:val="00165A02"/>
    <w:rsid w:val="001C7001"/>
    <w:rsid w:val="001D50AD"/>
    <w:rsid w:val="001E23A9"/>
    <w:rsid w:val="00254FCB"/>
    <w:rsid w:val="00277BB9"/>
    <w:rsid w:val="002A0916"/>
    <w:rsid w:val="002B03E5"/>
    <w:rsid w:val="002C506A"/>
    <w:rsid w:val="003030E3"/>
    <w:rsid w:val="00376F50"/>
    <w:rsid w:val="003A1CEA"/>
    <w:rsid w:val="00451727"/>
    <w:rsid w:val="0045425A"/>
    <w:rsid w:val="00462D8E"/>
    <w:rsid w:val="00464EE7"/>
    <w:rsid w:val="004A6E50"/>
    <w:rsid w:val="004B0859"/>
    <w:rsid w:val="004E6452"/>
    <w:rsid w:val="004F7BAA"/>
    <w:rsid w:val="00520F8A"/>
    <w:rsid w:val="00525994"/>
    <w:rsid w:val="005443D2"/>
    <w:rsid w:val="0056107E"/>
    <w:rsid w:val="00584243"/>
    <w:rsid w:val="005A2928"/>
    <w:rsid w:val="005D2C95"/>
    <w:rsid w:val="005D6F38"/>
    <w:rsid w:val="005E0DDB"/>
    <w:rsid w:val="006312B1"/>
    <w:rsid w:val="0067282D"/>
    <w:rsid w:val="006812B2"/>
    <w:rsid w:val="006B5BB6"/>
    <w:rsid w:val="006C53DB"/>
    <w:rsid w:val="006E7FE9"/>
    <w:rsid w:val="00712B5C"/>
    <w:rsid w:val="0072241A"/>
    <w:rsid w:val="00732CDE"/>
    <w:rsid w:val="00765234"/>
    <w:rsid w:val="007B59EF"/>
    <w:rsid w:val="007D5904"/>
    <w:rsid w:val="007F4C46"/>
    <w:rsid w:val="008013F3"/>
    <w:rsid w:val="008117F1"/>
    <w:rsid w:val="00816028"/>
    <w:rsid w:val="0085568A"/>
    <w:rsid w:val="00894B45"/>
    <w:rsid w:val="008B621F"/>
    <w:rsid w:val="009271D9"/>
    <w:rsid w:val="0095501B"/>
    <w:rsid w:val="00967AED"/>
    <w:rsid w:val="00A05A00"/>
    <w:rsid w:val="00A361C9"/>
    <w:rsid w:val="00AB72F0"/>
    <w:rsid w:val="00B339CB"/>
    <w:rsid w:val="00B76C59"/>
    <w:rsid w:val="00BB5F81"/>
    <w:rsid w:val="00BD34CC"/>
    <w:rsid w:val="00BF41E3"/>
    <w:rsid w:val="00C037A9"/>
    <w:rsid w:val="00C348DE"/>
    <w:rsid w:val="00CF3B12"/>
    <w:rsid w:val="00D51E52"/>
    <w:rsid w:val="00D73296"/>
    <w:rsid w:val="00E64EBE"/>
    <w:rsid w:val="00E97591"/>
    <w:rsid w:val="00EB27D6"/>
    <w:rsid w:val="00EC7AEC"/>
    <w:rsid w:val="00EF3193"/>
    <w:rsid w:val="00F66275"/>
    <w:rsid w:val="00F755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F10AE0"/>
  <w15:docId w15:val="{F3B40EB2-8630-42CC-B7D1-A19A23C2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CF3B12"/>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CF3B12"/>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5A2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611902">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law/&#20844;&#21496;&#27861;.docx" TargetMode="External"/><Relationship Id="rId18" Type="http://schemas.openxmlformats.org/officeDocument/2006/relationships/hyperlink" Target="../law/&#27927;&#37666;&#38450;&#21046;&#27861;.docx" TargetMode="External"/><Relationship Id="rId3" Type="http://schemas.openxmlformats.org/officeDocument/2006/relationships/webSettings" Target="webSettings.xml"/><Relationship Id="rId21" Type="http://schemas.openxmlformats.org/officeDocument/2006/relationships/hyperlink" Target="http://www.6law.idv.tw/comment.htm" TargetMode="External"/><Relationship Id="rId7" Type="http://schemas.openxmlformats.org/officeDocument/2006/relationships/image" Target="media/image1.jpeg"/><Relationship Id="rId12" Type="http://schemas.openxmlformats.org/officeDocument/2006/relationships/hyperlink" Target="../law/&#20844;&#21496;&#27861;.docx" TargetMode="External"/><Relationship Id="rId17" Type="http://schemas.openxmlformats.org/officeDocument/2006/relationships/hyperlink" Target="../law/&#27927;&#37666;&#38450;&#21046;&#27861;.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law/&#27927;&#37666;&#38450;&#21046;&#27861;.docx" TargetMode="External"/><Relationship Id="rId20" Type="http://schemas.openxmlformats.org/officeDocument/2006/relationships/hyperlink" Target="../law/&#20844;&#21496;&#27861;.docx" TargetMode="External"/><Relationship Id="rId1" Type="http://schemas.openxmlformats.org/officeDocument/2006/relationships/styles" Target="styles.xml"/><Relationship Id="rId6" Type="http://schemas.openxmlformats.org/officeDocument/2006/relationships/hyperlink" Target="http://www.6law.idv.tw/" TargetMode="External"/><Relationship Id="rId11" Type="http://schemas.openxmlformats.org/officeDocument/2006/relationships/hyperlink" Target="http://www.6law.idv.tw/6law/law3/&#20844;&#21496;&#27861;&#31532;&#20108;&#21313;&#20108;&#26781;&#20043;&#19968;&#36039;&#26009;&#30003;&#22577;&#21450;&#31649;&#29702;&#36774;&#27861;.ht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law/&#20844;&#21496;&#27861;.docx" TargetMode="External"/><Relationship Id="rId23" Type="http://schemas.openxmlformats.org/officeDocument/2006/relationships/footer" Target="footer2.xml"/><Relationship Id="rId10" Type="http://schemas.openxmlformats.org/officeDocument/2006/relationships/hyperlink" Target="../S-link&#20998;&#39006;&#27861;&#35215;&#32034;&#24341;.docx" TargetMode="External"/><Relationship Id="rId19" Type="http://schemas.openxmlformats.org/officeDocument/2006/relationships/hyperlink" Target="../law/&#35215;&#36027;&#27861;.docx" TargetMode="External"/><Relationship Id="rId4" Type="http://schemas.openxmlformats.org/officeDocument/2006/relationships/footnotes" Target="footnotes.xml"/><Relationship Id="rId9" Type="http://schemas.openxmlformats.org/officeDocument/2006/relationships/hyperlink" Target="http://www.facebook.com/anita6law" TargetMode="External"/><Relationship Id="rId14" Type="http://schemas.openxmlformats.org/officeDocument/2006/relationships/hyperlink" Target="../law/&#22283;&#29151;&#20107;&#26989;&#31649;&#29702;&#27861;.docx"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公司法第二十二條之一資料申報及管理辦法</dc:title>
  <dc:creator>S-link 電子六法-黃婉玲</dc:creator>
  <cp:lastModifiedBy>S-link電子六法黃婉玲</cp:lastModifiedBy>
  <cp:revision>15</cp:revision>
  <dcterms:created xsi:type="dcterms:W3CDTF">2018-11-03T16:24:00Z</dcterms:created>
  <dcterms:modified xsi:type="dcterms:W3CDTF">2018-11-03T16:34:00Z</dcterms:modified>
</cp:coreProperties>
</file>