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6A" w:rsidRDefault="00CE256A" w:rsidP="00CE256A">
      <w:pPr>
        <w:adjustRightInd w:val="0"/>
        <w:snapToGrid w:val="0"/>
        <w:ind w:rightChars="8" w:right="19"/>
        <w:jc w:val="right"/>
        <w:rPr>
          <w:rFonts w:ascii="Arial Unicode MS" w:hAnsi="Arial Unicode MS"/>
        </w:rPr>
      </w:pPr>
      <w:hyperlink r:id="rId8" w:tgtFrame="_blank" w:history="1">
        <w:r w:rsidR="003A6F5C">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CE256A" w:rsidRDefault="00CE256A" w:rsidP="00CE256A">
      <w:pPr>
        <w:adjustRightInd w:val="0"/>
        <w:snapToGrid w:val="0"/>
        <w:ind w:rightChars="8" w:right="19"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445563">
        <w:rPr>
          <w:rFonts w:ascii="Arial Unicode MS" w:hAnsi="Arial Unicode MS"/>
          <w:color w:val="7F7F7F"/>
          <w:sz w:val="18"/>
          <w:szCs w:val="20"/>
        </w:rPr>
        <w:t>2016/6/6</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CE256A" w:rsidRPr="00124594" w:rsidRDefault="00CE256A" w:rsidP="00CE256A">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692F72" w:rsidRPr="00D67456" w:rsidTr="00445563">
        <w:trPr>
          <w:cantSplit/>
          <w:tblCellSpacing w:w="0" w:type="dxa"/>
        </w:trPr>
        <w:tc>
          <w:tcPr>
            <w:tcW w:w="697" w:type="pct"/>
            <w:tcBorders>
              <w:top w:val="nil"/>
              <w:left w:val="nil"/>
              <w:bottom w:val="nil"/>
              <w:right w:val="nil"/>
            </w:tcBorders>
            <w:shd w:val="clear" w:color="auto" w:fill="339966"/>
            <w:vAlign w:val="center"/>
          </w:tcPr>
          <w:p w:rsidR="00692F72" w:rsidRPr="00D67456" w:rsidRDefault="00CE256A">
            <w:pPr>
              <w:ind w:leftChars="-6" w:left="-14"/>
              <w:jc w:val="center"/>
              <w:rPr>
                <w:rFonts w:ascii="Arial Unicode MS" w:hAnsi="Arial Unicode MS"/>
                <w:b/>
                <w:bCs/>
                <w:color w:val="FFFFFF"/>
                <w:sz w:val="22"/>
              </w:rPr>
            </w:pPr>
            <w:r>
              <w:rPr>
                <w:rFonts w:ascii="新細明體" w:cs="新細明體" w:hint="eastAsia"/>
                <w:b/>
                <w:bCs/>
                <w:color w:val="FFFFFF"/>
                <w:sz w:val="20"/>
                <w:szCs w:val="20"/>
                <w:lang w:val="zh-TW"/>
              </w:rPr>
              <w:t>法規名稱</w:t>
            </w:r>
          </w:p>
        </w:tc>
        <w:tc>
          <w:tcPr>
            <w:tcW w:w="2868" w:type="pct"/>
            <w:tcBorders>
              <w:top w:val="nil"/>
              <w:left w:val="nil"/>
              <w:bottom w:val="nil"/>
              <w:right w:val="nil"/>
            </w:tcBorders>
            <w:shd w:val="clear" w:color="auto" w:fill="F3F3F3"/>
            <w:vAlign w:val="center"/>
          </w:tcPr>
          <w:p w:rsidR="00692F72" w:rsidRPr="00FE48AA" w:rsidRDefault="00BA59CB" w:rsidP="00BA59CB">
            <w:pPr>
              <w:jc w:val="center"/>
              <w:rPr>
                <w:rFonts w:eastAsia="標楷體"/>
                <w:shadow/>
                <w:color w:val="993366"/>
                <w:sz w:val="32"/>
              </w:rPr>
            </w:pPr>
            <w:r w:rsidRPr="00FE48AA">
              <w:rPr>
                <w:rFonts w:eastAsia="標楷體"/>
                <w:shadow/>
                <w:color w:val="993366"/>
                <w:sz w:val="32"/>
              </w:rPr>
              <w:t>廢</w:t>
            </w:r>
            <w:r w:rsidRPr="00FE48AA">
              <w:rPr>
                <w:rFonts w:eastAsia="標楷體" w:hint="eastAsia"/>
                <w:shadow/>
                <w:color w:val="993366"/>
                <w:sz w:val="32"/>
              </w:rPr>
              <w:t>:</w:t>
            </w:r>
            <w:r w:rsidR="00692F72" w:rsidRPr="00FE48AA">
              <w:rPr>
                <w:rFonts w:eastAsia="標楷體"/>
                <w:shadow/>
                <w:color w:val="993366"/>
                <w:sz w:val="32"/>
              </w:rPr>
              <w:t>勞工訴訟輔助辦法</w:t>
            </w:r>
          </w:p>
        </w:tc>
        <w:tc>
          <w:tcPr>
            <w:tcW w:w="1435" w:type="pct"/>
            <w:tcBorders>
              <w:top w:val="nil"/>
              <w:left w:val="nil"/>
              <w:bottom w:val="nil"/>
              <w:right w:val="nil"/>
            </w:tcBorders>
            <w:shd w:val="clear" w:color="auto" w:fill="F3F3F3"/>
            <w:vAlign w:val="center"/>
          </w:tcPr>
          <w:p w:rsidR="00692F72" w:rsidRPr="00FE48AA" w:rsidRDefault="00692F72">
            <w:pPr>
              <w:ind w:leftChars="-6" w:left="-14"/>
              <w:jc w:val="both"/>
              <w:rPr>
                <w:rFonts w:ascii="Arial Unicode MS" w:hAnsi="Arial Unicode MS"/>
                <w:color w:val="993366"/>
                <w:sz w:val="20"/>
              </w:rPr>
            </w:pPr>
            <w:r w:rsidRPr="00FE48AA">
              <w:rPr>
                <w:rFonts w:ascii="Arial Unicode MS" w:hAnsi="Arial Unicode MS"/>
                <w:color w:val="993366"/>
                <w:sz w:val="20"/>
              </w:rPr>
              <w:t>【公布日期】</w:t>
            </w:r>
            <w:r w:rsidR="00CE256A" w:rsidRPr="00FE48AA">
              <w:rPr>
                <w:rFonts w:ascii="Arial Unicode MS" w:hAnsi="Arial Unicode MS" w:hint="eastAsia"/>
                <w:color w:val="993366"/>
                <w:sz w:val="20"/>
              </w:rPr>
              <w:t>98.04.17</w:t>
            </w:r>
          </w:p>
          <w:p w:rsidR="00692F72" w:rsidRPr="00FE48AA" w:rsidRDefault="00692F72">
            <w:pPr>
              <w:ind w:leftChars="-6" w:left="-14"/>
              <w:jc w:val="both"/>
              <w:rPr>
                <w:rFonts w:ascii="Arial Unicode MS" w:hAnsi="Arial Unicode MS"/>
                <w:color w:val="993366"/>
                <w:sz w:val="20"/>
              </w:rPr>
            </w:pPr>
            <w:r w:rsidRPr="00FE48AA">
              <w:rPr>
                <w:rFonts w:ascii="Arial Unicode MS" w:hAnsi="Arial Unicode MS"/>
                <w:color w:val="993366"/>
                <w:sz w:val="20"/>
              </w:rPr>
              <w:t>【公布機關】行政院勞工委員會</w:t>
            </w:r>
          </w:p>
        </w:tc>
      </w:tr>
    </w:tbl>
    <w:p w:rsidR="00157A07" w:rsidRPr="00CE256A" w:rsidRDefault="00CE256A" w:rsidP="00CE256A">
      <w:pPr>
        <w:jc w:val="center"/>
      </w:pPr>
      <w:r w:rsidRPr="00DA7942">
        <w:rPr>
          <w:rFonts w:hint="eastAsia"/>
          <w:color w:val="FFFFFF"/>
        </w:rPr>
        <w:t>‧</w:t>
      </w:r>
      <w:r w:rsidR="00445563" w:rsidRPr="00627C22">
        <w:rPr>
          <w:rFonts w:ascii="Arial Unicode MS" w:hAnsi="Arial Unicode MS" w:cs="新細明體" w:hint="eastAsia"/>
          <w:color w:val="FFFFFF"/>
          <w:sz w:val="18"/>
          <w:szCs w:val="18"/>
        </w:rPr>
        <w:t>☆</w:t>
      </w:r>
      <w:hyperlink r:id="rId14" w:anchor="勞工訴訟輔助辦法" w:history="1">
        <w:r w:rsidR="00445563" w:rsidRPr="009F5EE7">
          <w:rPr>
            <w:rStyle w:val="a3"/>
            <w:rFonts w:ascii="Arial Unicode MS" w:hAnsi="Arial Unicode MS" w:hint="eastAsia"/>
            <w:sz w:val="18"/>
          </w:rPr>
          <w:t>S-li</w:t>
        </w:r>
        <w:r w:rsidR="00445563" w:rsidRPr="009F5EE7">
          <w:rPr>
            <w:rStyle w:val="a3"/>
            <w:rFonts w:ascii="Arial Unicode MS" w:hAnsi="Arial Unicode MS" w:hint="eastAsia"/>
            <w:sz w:val="18"/>
          </w:rPr>
          <w:t>n</w:t>
        </w:r>
        <w:r w:rsidR="00445563" w:rsidRPr="009F5EE7">
          <w:rPr>
            <w:rStyle w:val="a3"/>
            <w:rFonts w:ascii="Arial Unicode MS" w:hAnsi="Arial Unicode MS" w:hint="eastAsia"/>
            <w:sz w:val="18"/>
          </w:rPr>
          <w:t>k</w:t>
        </w:r>
        <w:r w:rsidR="00445563" w:rsidRPr="009F5EE7">
          <w:rPr>
            <w:rStyle w:val="a3"/>
            <w:rFonts w:ascii="Arial Unicode MS" w:hAnsi="Arial Unicode MS" w:hint="eastAsia"/>
            <w:sz w:val="18"/>
          </w:rPr>
          <w:t>索引</w:t>
        </w:r>
      </w:hyperlink>
      <w:r w:rsidR="00445563" w:rsidRPr="009F5EE7">
        <w:rPr>
          <w:rFonts w:ascii="Arial Unicode MS" w:hAnsi="Arial Unicode MS" w:hint="eastAsia"/>
          <w:b/>
          <w:color w:val="5F5F5F"/>
          <w:sz w:val="18"/>
        </w:rPr>
        <w:t>&gt;&gt;</w:t>
      </w:r>
      <w:hyperlink r:id="rId15" w:tgtFrame="_blank" w:history="1">
        <w:r w:rsidRPr="00CE256A">
          <w:rPr>
            <w:rStyle w:val="a3"/>
            <w:rFonts w:ascii="Arial Unicode MS" w:hAnsi="Arial Unicode MS" w:hint="eastAsia"/>
            <w:sz w:val="18"/>
          </w:rPr>
          <w:t>線上網頁版</w:t>
        </w:r>
      </w:hyperlink>
      <w:r w:rsidRPr="00CE256A">
        <w:rPr>
          <w:rFonts w:ascii="Arial Unicode MS" w:hAnsi="Arial Unicode MS" w:hint="eastAsia"/>
          <w:sz w:val="18"/>
        </w:rPr>
        <w:t>&gt;&gt;</w:t>
      </w:r>
    </w:p>
    <w:p w:rsidR="00692F72" w:rsidRPr="00FE48AA" w:rsidRDefault="00692F72" w:rsidP="00FE48AA">
      <w:pPr>
        <w:pStyle w:val="1"/>
        <w:snapToGrid w:val="0"/>
        <w:spacing w:before="100" w:beforeAutospacing="1" w:after="100" w:afterAutospacing="1"/>
        <w:textAlignment w:val="auto"/>
        <w:rPr>
          <w:color w:val="auto"/>
        </w:rPr>
      </w:pPr>
      <w:r w:rsidRPr="00FE48AA">
        <w:rPr>
          <w:color w:val="auto"/>
        </w:rPr>
        <w:t>【</w:t>
      </w:r>
      <w:r w:rsidRPr="00FE48AA">
        <w:rPr>
          <w:rFonts w:hint="eastAsia"/>
          <w:color w:val="auto"/>
        </w:rPr>
        <w:t>法規沿革</w:t>
      </w:r>
      <w:r w:rsidRPr="00FE48AA">
        <w:rPr>
          <w:color w:val="auto"/>
        </w:rPr>
        <w:t>】</w:t>
      </w:r>
    </w:p>
    <w:p w:rsidR="00BA59CB" w:rsidRPr="00724A95" w:rsidRDefault="00692F72" w:rsidP="00BA59CB">
      <w:pPr>
        <w:ind w:firstLine="180"/>
        <w:rPr>
          <w:rFonts w:ascii="Arial Unicode MS" w:hAnsi="Arial Unicode MS"/>
          <w:sz w:val="18"/>
        </w:rPr>
      </w:pPr>
      <w:r w:rsidRPr="00FE48AA">
        <w:rPr>
          <w:rFonts w:ascii="Arial Unicode MS" w:hAnsi="Arial Unicode MS"/>
          <w:b/>
          <w:sz w:val="18"/>
        </w:rPr>
        <w:t>1</w:t>
      </w:r>
      <w:r w:rsidR="005430E0" w:rsidRPr="005430E0">
        <w:rPr>
          <w:rFonts w:ascii="新細明體" w:hAnsi="新細明體"/>
          <w:sz w:val="20"/>
        </w:rPr>
        <w:t>‧</w:t>
      </w:r>
      <w:r w:rsidRPr="00724A95">
        <w:rPr>
          <w:rFonts w:ascii="Arial Unicode MS" w:hAnsi="Arial Unicode MS"/>
          <w:sz w:val="18"/>
        </w:rPr>
        <w:t>中華民國九十年十月十七日行政院勞工委員會</w:t>
      </w:r>
      <w:r w:rsidR="009043DA" w:rsidRPr="00724A95">
        <w:rPr>
          <w:rFonts w:ascii="Arial Unicode MS" w:hAnsi="Arial Unicode MS"/>
          <w:sz w:val="18"/>
        </w:rPr>
        <w:t>（</w:t>
      </w:r>
      <w:r w:rsidRPr="00724A95">
        <w:rPr>
          <w:rFonts w:ascii="Arial Unicode MS" w:hAnsi="Arial Unicode MS"/>
          <w:sz w:val="18"/>
        </w:rPr>
        <w:t>90</w:t>
      </w:r>
      <w:r w:rsidR="009043DA" w:rsidRPr="00724A95">
        <w:rPr>
          <w:rFonts w:ascii="Arial Unicode MS" w:hAnsi="Arial Unicode MS"/>
          <w:sz w:val="18"/>
        </w:rPr>
        <w:t>）</w:t>
      </w:r>
      <w:r w:rsidRPr="00724A95">
        <w:rPr>
          <w:rFonts w:ascii="Arial Unicode MS" w:hAnsi="Arial Unicode MS"/>
          <w:sz w:val="18"/>
        </w:rPr>
        <w:t>台勞資三字第</w:t>
      </w:r>
      <w:r w:rsidRPr="00724A95">
        <w:rPr>
          <w:rFonts w:ascii="Arial Unicode MS" w:hAnsi="Arial Unicode MS"/>
          <w:sz w:val="18"/>
        </w:rPr>
        <w:t>0048567</w:t>
      </w:r>
      <w:r w:rsidRPr="00724A95">
        <w:rPr>
          <w:rFonts w:ascii="Arial Unicode MS" w:hAnsi="Arial Unicode MS"/>
          <w:sz w:val="18"/>
        </w:rPr>
        <w:t>號令訂定</w:t>
      </w:r>
      <w:r w:rsidR="005430E0" w:rsidRPr="00724A95">
        <w:rPr>
          <w:rFonts w:ascii="Arial Unicode MS" w:hAnsi="Arial Unicode MS"/>
          <w:sz w:val="18"/>
        </w:rPr>
        <w:t>發布</w:t>
      </w:r>
      <w:r w:rsidRPr="00724A95">
        <w:rPr>
          <w:rFonts w:ascii="Arial Unicode MS" w:hAnsi="Arial Unicode MS"/>
          <w:sz w:val="18"/>
        </w:rPr>
        <w:t>全文</w:t>
      </w:r>
      <w:r w:rsidRPr="00724A95">
        <w:rPr>
          <w:rFonts w:ascii="Arial Unicode MS" w:hAnsi="Arial Unicode MS"/>
          <w:sz w:val="18"/>
        </w:rPr>
        <w:t>17</w:t>
      </w:r>
      <w:r w:rsidRPr="00724A95">
        <w:rPr>
          <w:rFonts w:ascii="Arial Unicode MS" w:hAnsi="Arial Unicode MS"/>
          <w:sz w:val="18"/>
        </w:rPr>
        <w:t>條</w:t>
      </w:r>
    </w:p>
    <w:p w:rsidR="00692F72" w:rsidRDefault="00BA59CB" w:rsidP="00CE256A">
      <w:pPr>
        <w:ind w:firstLine="180"/>
        <w:jc w:val="both"/>
        <w:rPr>
          <w:rFonts w:ascii="Arial Unicode MS" w:hAnsi="Arial Unicode MS"/>
          <w:sz w:val="20"/>
        </w:rPr>
      </w:pPr>
      <w:r w:rsidRPr="00FE48AA">
        <w:rPr>
          <w:rFonts w:ascii="Arial Unicode MS" w:hAnsi="Arial Unicode MS"/>
          <w:b/>
          <w:sz w:val="18"/>
        </w:rPr>
        <w:t>2</w:t>
      </w:r>
      <w:r w:rsidR="00CE256A" w:rsidRPr="005430E0">
        <w:rPr>
          <w:rFonts w:ascii="新細明體" w:hAnsi="新細明體"/>
          <w:sz w:val="20"/>
        </w:rPr>
        <w:t>‧</w:t>
      </w:r>
      <w:r w:rsidR="005430E0" w:rsidRPr="005430E0">
        <w:rPr>
          <w:rFonts w:ascii="Arial Unicode MS" w:hAnsi="Arial Unicode MS" w:hint="eastAsia"/>
          <w:sz w:val="18"/>
        </w:rPr>
        <w:t>中華民國九十八年四月十七日行政院勞工委員會勞資</w:t>
      </w:r>
      <w:r w:rsidR="005430E0" w:rsidRPr="005430E0">
        <w:rPr>
          <w:rFonts w:ascii="Arial Unicode MS" w:hAnsi="Arial Unicode MS" w:hint="eastAsia"/>
          <w:sz w:val="18"/>
        </w:rPr>
        <w:t>3</w:t>
      </w:r>
      <w:r w:rsidR="005430E0" w:rsidRPr="005430E0">
        <w:rPr>
          <w:rFonts w:ascii="Arial Unicode MS" w:hAnsi="Arial Unicode MS" w:hint="eastAsia"/>
          <w:sz w:val="18"/>
        </w:rPr>
        <w:t>字第</w:t>
      </w:r>
      <w:r w:rsidR="005430E0" w:rsidRPr="005430E0">
        <w:rPr>
          <w:rFonts w:ascii="Arial Unicode MS" w:hAnsi="Arial Unicode MS" w:hint="eastAsia"/>
          <w:sz w:val="18"/>
        </w:rPr>
        <w:t>0980125531</w:t>
      </w:r>
      <w:r w:rsidR="005430E0" w:rsidRPr="005430E0">
        <w:rPr>
          <w:rFonts w:ascii="Arial Unicode MS" w:hAnsi="Arial Unicode MS" w:hint="eastAsia"/>
          <w:sz w:val="18"/>
        </w:rPr>
        <w:t>號令發布廢止</w:t>
      </w:r>
    </w:p>
    <w:p w:rsidR="00BA59CB" w:rsidRPr="00BA59CB" w:rsidRDefault="00BA59CB" w:rsidP="00BA59CB">
      <w:pPr>
        <w:ind w:firstLine="180"/>
        <w:rPr>
          <w:rFonts w:ascii="Arial Unicode MS" w:hAnsi="Arial Unicode MS"/>
          <w:b/>
          <w:bCs/>
          <w:color w:val="800000"/>
          <w:sz w:val="20"/>
        </w:rPr>
      </w:pPr>
    </w:p>
    <w:p w:rsidR="00692F72" w:rsidRPr="00FE48AA" w:rsidRDefault="00692F72" w:rsidP="00FE48AA">
      <w:pPr>
        <w:pStyle w:val="1"/>
        <w:snapToGrid w:val="0"/>
        <w:spacing w:before="100" w:beforeAutospacing="1" w:after="100" w:afterAutospacing="1"/>
        <w:textAlignment w:val="auto"/>
        <w:rPr>
          <w:color w:val="auto"/>
        </w:rPr>
      </w:pPr>
      <w:r w:rsidRPr="00FE48AA">
        <w:rPr>
          <w:color w:val="auto"/>
        </w:rPr>
        <w:t>【</w:t>
      </w:r>
      <w:r w:rsidRPr="00FE48AA">
        <w:rPr>
          <w:rFonts w:hint="eastAsia"/>
          <w:color w:val="auto"/>
        </w:rPr>
        <w:t>法規內容</w:t>
      </w:r>
      <w:r w:rsidRPr="00FE48AA">
        <w:rPr>
          <w:color w:val="auto"/>
        </w:rPr>
        <w:t>】</w:t>
      </w:r>
      <w:bookmarkStart w:id="1" w:name="_GoBack"/>
      <w:bookmarkEnd w:id="1"/>
    </w:p>
    <w:p w:rsidR="00692F72" w:rsidRPr="00FE48AA" w:rsidRDefault="00692F72" w:rsidP="00FE48AA">
      <w:pPr>
        <w:pStyle w:val="2"/>
      </w:pPr>
      <w:r w:rsidRPr="00FE48AA">
        <w:t>第</w:t>
      </w:r>
      <w:r w:rsidRPr="00FE48AA">
        <w:t>1</w:t>
      </w:r>
      <w:r w:rsidRPr="00FE48AA">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為有效解決勞資爭議，輔助勞工訴訟，特訂定本辦法。</w:t>
      </w:r>
    </w:p>
    <w:p w:rsidR="00692F72" w:rsidRPr="00D67456" w:rsidRDefault="00692F72" w:rsidP="00FE48AA">
      <w:pPr>
        <w:pStyle w:val="2"/>
      </w:pPr>
      <w:r w:rsidRPr="00D67456">
        <w:t>第</w:t>
      </w:r>
      <w:r w:rsidRPr="00D67456">
        <w:t>2</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本辦法輔助範圍如下：</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一、勞工有</w:t>
      </w:r>
      <w:hyperlink w:anchor="a4" w:history="1">
        <w:r w:rsidRPr="00D67456">
          <w:rPr>
            <w:rStyle w:val="a3"/>
            <w:rFonts w:ascii="Arial Unicode MS" w:hAnsi="Arial Unicode MS"/>
          </w:rPr>
          <w:t>第四條</w:t>
        </w:r>
      </w:hyperlink>
      <w:r w:rsidRPr="00D67456">
        <w:rPr>
          <w:rFonts w:ascii="Arial Unicode MS" w:hAnsi="Arial Unicode MS"/>
          <w:sz w:val="20"/>
        </w:rPr>
        <w:t>情形之一而訴訟，其第一審至第三審、保全程序、督促程序及強制執行程序之律師費。</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二、勞工有</w:t>
      </w:r>
      <w:hyperlink w:anchor="a7" w:history="1">
        <w:r w:rsidRPr="00D67456">
          <w:rPr>
            <w:rStyle w:val="a3"/>
            <w:rFonts w:ascii="Arial Unicode MS" w:hAnsi="Arial Unicode MS"/>
          </w:rPr>
          <w:t>第七條</w:t>
        </w:r>
      </w:hyperlink>
      <w:r w:rsidRPr="00D67456">
        <w:rPr>
          <w:rFonts w:ascii="Arial Unicode MS" w:hAnsi="Arial Unicode MS"/>
          <w:sz w:val="20"/>
        </w:rPr>
        <w:t>情形聲請假扣押，本會得出具保證書。</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三、勞工有</w:t>
      </w:r>
      <w:hyperlink w:anchor="a9" w:history="1">
        <w:r w:rsidRPr="00D67456">
          <w:rPr>
            <w:rStyle w:val="a3"/>
            <w:rFonts w:ascii="Arial Unicode MS" w:hAnsi="Arial Unicode MS"/>
          </w:rPr>
          <w:t>第九條</w:t>
        </w:r>
      </w:hyperlink>
      <w:r w:rsidRPr="00D67456">
        <w:rPr>
          <w:rFonts w:ascii="Arial Unicode MS" w:hAnsi="Arial Unicode MS"/>
          <w:sz w:val="20"/>
        </w:rPr>
        <w:t>情形於其無資力支付訴訟費用時，得請求本會出具勞工無資力之證明書。</w:t>
      </w:r>
    </w:p>
    <w:p w:rsidR="00692F72" w:rsidRPr="00D67456" w:rsidRDefault="00692F72" w:rsidP="00FE48AA">
      <w:pPr>
        <w:pStyle w:val="2"/>
      </w:pPr>
      <w:r w:rsidRPr="00D67456">
        <w:t>第</w:t>
      </w:r>
      <w:r w:rsidRPr="00D67456">
        <w:t>3</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同一事業單位或其分支機構因同一事件而訴訟之勞工人數在三人以上者，其申請輔助，應以集體身分為之。</w:t>
      </w:r>
    </w:p>
    <w:p w:rsidR="00692F72" w:rsidRPr="009043DA" w:rsidRDefault="00DF5272" w:rsidP="00692F72">
      <w:pPr>
        <w:ind w:leftChars="75" w:left="180"/>
        <w:jc w:val="both"/>
        <w:rPr>
          <w:rFonts w:ascii="Arial Unicode MS" w:hAnsi="Arial Unicode MS"/>
          <w:color w:val="17365D"/>
          <w:sz w:val="20"/>
        </w:rPr>
      </w:pPr>
      <w:r w:rsidRPr="009043DA">
        <w:rPr>
          <w:rFonts w:ascii="Arial Unicode MS" w:hAnsi="Arial Unicode MS"/>
          <w:color w:val="17365D"/>
          <w:sz w:val="20"/>
        </w:rPr>
        <w:t xml:space="preserve">　　</w:t>
      </w:r>
      <w:r w:rsidR="00692F72" w:rsidRPr="009043DA">
        <w:rPr>
          <w:rFonts w:ascii="Arial Unicode MS" w:hAnsi="Arial Unicode MS"/>
          <w:color w:val="17365D"/>
          <w:sz w:val="20"/>
        </w:rPr>
        <w:t>前項申請以一案為限。</w:t>
      </w:r>
    </w:p>
    <w:p w:rsidR="00692F72" w:rsidRPr="00D67456" w:rsidRDefault="00692F72" w:rsidP="00FE48AA">
      <w:pPr>
        <w:pStyle w:val="2"/>
      </w:pPr>
      <w:bookmarkStart w:id="2" w:name="a4"/>
      <w:bookmarkEnd w:id="2"/>
      <w:r w:rsidRPr="00D67456">
        <w:t>第</w:t>
      </w:r>
      <w:r w:rsidRPr="00D67456">
        <w:t>4</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勞工有下列各款情形之一而訴訟，得向行政院勞工委員會</w:t>
      </w:r>
      <w:r w:rsidR="009043DA">
        <w:rPr>
          <w:rFonts w:ascii="Arial Unicode MS" w:hAnsi="Arial Unicode MS"/>
          <w:sz w:val="20"/>
        </w:rPr>
        <w:t>（</w:t>
      </w:r>
      <w:r w:rsidRPr="00D67456">
        <w:rPr>
          <w:rFonts w:ascii="Arial Unicode MS" w:hAnsi="Arial Unicode MS"/>
          <w:sz w:val="20"/>
        </w:rPr>
        <w:t>以下簡稱本會</w:t>
      </w:r>
      <w:r w:rsidR="009043DA">
        <w:rPr>
          <w:rFonts w:ascii="Arial Unicode MS" w:hAnsi="Arial Unicode MS"/>
          <w:sz w:val="20"/>
        </w:rPr>
        <w:t>）</w:t>
      </w:r>
      <w:r w:rsidRPr="00D67456">
        <w:rPr>
          <w:rFonts w:ascii="Arial Unicode MS" w:hAnsi="Arial Unicode MS"/>
          <w:sz w:val="20"/>
        </w:rPr>
        <w:t>申請補助律師費。但顯無勝訴之望或顯無實益者，不予補助：</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一、同一事業單位或其分支機構因關廠、歇業而終止勞動契約，雇主未依勞動基準法及相關法令給付資遣費或退休金者。</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二、同一事業單位或其分支機構於六個月內發生終止勞動契約爭議，其人數達二十人，雇主未依勞動基準法及相關法令給付資遺費或退休金者。</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三、勞工因遭遇職業災害致傷病、殘廢或死亡，雇主未依勞動基準法及相關法令給付職業災害補償者。</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四、工會理、監事及會員代表大會代表、工會發起人或籌備人遭不當解僱，經依勞資爭議處理法調解不成立者。</w:t>
      </w:r>
    </w:p>
    <w:p w:rsidR="00692F72" w:rsidRPr="00D67456" w:rsidRDefault="00692F72" w:rsidP="00FE48AA">
      <w:pPr>
        <w:pStyle w:val="2"/>
      </w:pPr>
      <w:r w:rsidRPr="00D67456">
        <w:t>第</w:t>
      </w:r>
      <w:r w:rsidRPr="00D67456">
        <w:t>5</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律師費補助標準如下：</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一、勞工個別申請者，每一審最高補助新台幣四萬元，全案補助費合計不得超過新台幣十二萬元。</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二、勞工集體申請者，每一審最高補助新台幣十萬元，全案補助費合計不得超過新台幣三十萬元。</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三、申請保全程序者，全案最高補助新台幣三萬元。</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lastRenderedPageBreak/>
        <w:t xml:space="preserve">　　四、申請督促程序者，全案最高補助新台幣一萬元。</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五、申請強制執行程序者，全案最高補助新台幣四萬元。</w:t>
      </w:r>
    </w:p>
    <w:p w:rsidR="00692F72" w:rsidRPr="00D67456" w:rsidRDefault="00692F72" w:rsidP="00FE48AA">
      <w:pPr>
        <w:pStyle w:val="2"/>
      </w:pPr>
      <w:r w:rsidRPr="00D67456">
        <w:t>第</w:t>
      </w:r>
      <w:r w:rsidRPr="00D67456">
        <w:t>6</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勞工向本會申請補助律師費，應檢具申請書、律師委任狀、律師費收據、當地律師公會章程所定酬勞標準及下列文件：</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一、第一審：起訴狀。</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二、第二審或第三審：上訴狀或答辯書狀及第一審或第二審裁判文書影本。</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三、保全程序：假扣押或假處分聲請狀及法院裁定書影本。</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四、督促程序：支付命令聲請狀及裁定書影本。</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五、強制執行程序：強制執行聲請狀及相關證明文件影本。</w:t>
      </w:r>
    </w:p>
    <w:p w:rsidR="00692F72" w:rsidRPr="009043DA" w:rsidRDefault="00692F72" w:rsidP="00692F72">
      <w:pPr>
        <w:ind w:leftChars="75" w:left="180"/>
        <w:jc w:val="both"/>
        <w:rPr>
          <w:rFonts w:ascii="Arial Unicode MS" w:hAnsi="Arial Unicode MS"/>
          <w:color w:val="17365D"/>
          <w:sz w:val="20"/>
        </w:rPr>
      </w:pPr>
      <w:r w:rsidRPr="009043DA">
        <w:rPr>
          <w:rFonts w:ascii="Arial Unicode MS" w:hAnsi="Arial Unicode MS"/>
          <w:color w:val="17365D"/>
          <w:sz w:val="20"/>
        </w:rPr>
        <w:t xml:space="preserve">　　前項申請案件，經通知限期補正，逾期未補正者，不予受理。</w:t>
      </w:r>
    </w:p>
    <w:p w:rsidR="00692F72" w:rsidRPr="00D67456" w:rsidRDefault="00692F72" w:rsidP="00FE48AA">
      <w:pPr>
        <w:pStyle w:val="2"/>
      </w:pPr>
      <w:bookmarkStart w:id="3" w:name="a7"/>
      <w:bookmarkEnd w:id="3"/>
      <w:r w:rsidRPr="00D67456">
        <w:t>第</w:t>
      </w:r>
      <w:r w:rsidRPr="00D67456">
        <w:t>7</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勞工因雇主違反</w:t>
      </w:r>
      <w:hyperlink r:id="rId16" w:history="1">
        <w:r w:rsidRPr="00C743EE">
          <w:rPr>
            <w:rStyle w:val="a3"/>
            <w:rFonts w:ascii="Arial Unicode MS" w:hAnsi="Arial Unicode MS"/>
          </w:rPr>
          <w:t>勞工安全衛生法</w:t>
        </w:r>
      </w:hyperlink>
      <w:r w:rsidRPr="00D67456">
        <w:rPr>
          <w:rFonts w:ascii="Arial Unicode MS" w:hAnsi="Arial Unicode MS"/>
          <w:sz w:val="20"/>
        </w:rPr>
        <w:t>致傷病、殘廢或死亡，經提起損害賠償訴訟，其訴訟當事人逾二百人者，於其無資力支出假扣押擔保金時，得請求本會出具保證書代之。但顯無勝訴之望或顯無實益者，不在此限。</w:t>
      </w:r>
    </w:p>
    <w:p w:rsidR="00692F72" w:rsidRPr="009043DA" w:rsidRDefault="00692F72" w:rsidP="00692F72">
      <w:pPr>
        <w:ind w:leftChars="75" w:left="180"/>
        <w:jc w:val="both"/>
        <w:rPr>
          <w:rFonts w:ascii="Arial Unicode MS" w:hAnsi="Arial Unicode MS"/>
          <w:color w:val="17365D"/>
          <w:sz w:val="20"/>
        </w:rPr>
      </w:pPr>
      <w:r w:rsidRPr="009043DA">
        <w:rPr>
          <w:rFonts w:ascii="Arial Unicode MS" w:hAnsi="Arial Unicode MS"/>
          <w:color w:val="17365D"/>
          <w:sz w:val="20"/>
        </w:rPr>
        <w:t xml:space="preserve">　　前項保證書之擔保責任，最高以新台幣一千萬元為限。</w:t>
      </w:r>
    </w:p>
    <w:p w:rsidR="00692F72" w:rsidRPr="00D67456" w:rsidRDefault="00692F72" w:rsidP="00FE48AA">
      <w:pPr>
        <w:pStyle w:val="2"/>
      </w:pPr>
      <w:r w:rsidRPr="00D67456">
        <w:t>第</w:t>
      </w:r>
      <w:r w:rsidRPr="00D67456">
        <w:t>8</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勞工申請本會出具前條保證書時，應檢具下列文件：</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一、申請書。</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二、假扣押聲請狀影本。</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三、法院裁定書影本。</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四、雇主違</w:t>
      </w:r>
      <w:r w:rsidR="00C743EE" w:rsidRPr="00D67456">
        <w:rPr>
          <w:rFonts w:ascii="Arial Unicode MS" w:hAnsi="Arial Unicode MS"/>
          <w:sz w:val="20"/>
        </w:rPr>
        <w:t>反</w:t>
      </w:r>
      <w:hyperlink r:id="rId17" w:history="1">
        <w:r w:rsidR="00C743EE" w:rsidRPr="00C743EE">
          <w:rPr>
            <w:rStyle w:val="a3"/>
            <w:rFonts w:ascii="Arial Unicode MS" w:hAnsi="Arial Unicode MS"/>
          </w:rPr>
          <w:t>勞工安全衛生法</w:t>
        </w:r>
      </w:hyperlink>
      <w:r w:rsidRPr="00D67456">
        <w:rPr>
          <w:rFonts w:ascii="Arial Unicode MS" w:hAnsi="Arial Unicode MS"/>
          <w:sz w:val="20"/>
        </w:rPr>
        <w:t>相關文件影本。</w:t>
      </w:r>
    </w:p>
    <w:p w:rsidR="00692F72" w:rsidRPr="009043DA" w:rsidRDefault="00692F72" w:rsidP="00692F72">
      <w:pPr>
        <w:ind w:leftChars="75" w:left="180"/>
        <w:jc w:val="both"/>
        <w:rPr>
          <w:rFonts w:ascii="Arial Unicode MS" w:hAnsi="Arial Unicode MS"/>
          <w:color w:val="17365D"/>
          <w:sz w:val="20"/>
        </w:rPr>
      </w:pPr>
      <w:r w:rsidRPr="009043DA">
        <w:rPr>
          <w:rFonts w:ascii="Arial Unicode MS" w:hAnsi="Arial Unicode MS"/>
          <w:color w:val="17365D"/>
          <w:sz w:val="20"/>
        </w:rPr>
        <w:t xml:space="preserve">　　前項申請案件，經通知限期補正，逾期未補正者，不予受理。</w:t>
      </w:r>
    </w:p>
    <w:p w:rsidR="00692F72" w:rsidRPr="00D67456" w:rsidRDefault="00692F72" w:rsidP="00FE48AA">
      <w:pPr>
        <w:pStyle w:val="2"/>
      </w:pPr>
      <w:bookmarkStart w:id="4" w:name="a9"/>
      <w:bookmarkEnd w:id="4"/>
      <w:r w:rsidRPr="00D67456">
        <w:t>第</w:t>
      </w:r>
      <w:r w:rsidRPr="00D67456">
        <w:t>9</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同一事業單位或其分支機構因關廠、歇業而終止勞動契約，雇主未依勞動基準法及相關法令給付資遣費或退休金，其訴訟當事人逾二百人者，於其無資力支付訴訟費用時，得請求本會出具勞工無資力之證明書。但顯無勝訴之望或顯無實益者，不在此限。</w:t>
      </w:r>
    </w:p>
    <w:p w:rsidR="00692F72" w:rsidRPr="00D67456" w:rsidRDefault="00692F72" w:rsidP="00FE48AA">
      <w:pPr>
        <w:pStyle w:val="2"/>
      </w:pPr>
      <w:r w:rsidRPr="00D67456">
        <w:t>第</w:t>
      </w:r>
      <w:r w:rsidRPr="00D67456">
        <w:t>10</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勞工申請本會出具前條證明書時，應檢具下列文件：</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一、申請書。</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二、起訴狀影本。</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三、勞資爭議調解</w:t>
      </w:r>
      <w:r w:rsidR="009043DA">
        <w:rPr>
          <w:rFonts w:ascii="Arial Unicode MS" w:hAnsi="Arial Unicode MS"/>
          <w:sz w:val="20"/>
        </w:rPr>
        <w:t>（</w:t>
      </w:r>
      <w:r w:rsidRPr="00D67456">
        <w:rPr>
          <w:rFonts w:ascii="Arial Unicode MS" w:hAnsi="Arial Unicode MS"/>
          <w:sz w:val="20"/>
        </w:rPr>
        <w:t>協調</w:t>
      </w:r>
      <w:r w:rsidR="009043DA">
        <w:rPr>
          <w:rFonts w:ascii="Arial Unicode MS" w:hAnsi="Arial Unicode MS"/>
          <w:sz w:val="20"/>
        </w:rPr>
        <w:t>）</w:t>
      </w:r>
      <w:r w:rsidRPr="00D67456">
        <w:rPr>
          <w:rFonts w:ascii="Arial Unicode MS" w:hAnsi="Arial Unicode MS"/>
          <w:sz w:val="20"/>
        </w:rPr>
        <w:t>紀錄影本。</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四、全戶綜合所得稅免納稅證明文件影本、村</w:t>
      </w:r>
      <w:r w:rsidR="009043DA">
        <w:rPr>
          <w:rFonts w:ascii="Arial Unicode MS" w:hAnsi="Arial Unicode MS"/>
          <w:sz w:val="20"/>
        </w:rPr>
        <w:t>（</w:t>
      </w:r>
      <w:r w:rsidRPr="00D67456">
        <w:rPr>
          <w:rFonts w:ascii="Arial Unicode MS" w:hAnsi="Arial Unicode MS"/>
          <w:sz w:val="20"/>
        </w:rPr>
        <w:t>里</w:t>
      </w:r>
      <w:r w:rsidR="009043DA">
        <w:rPr>
          <w:rFonts w:ascii="Arial Unicode MS" w:hAnsi="Arial Unicode MS"/>
          <w:sz w:val="20"/>
        </w:rPr>
        <w:t>）</w:t>
      </w:r>
      <w:r w:rsidRPr="00D67456">
        <w:rPr>
          <w:rFonts w:ascii="Arial Unicode MS" w:hAnsi="Arial Unicode MS"/>
          <w:sz w:val="20"/>
        </w:rPr>
        <w:t>長出具之清寒證明正本或公立就業服務機構出具之失業認定影本。</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五、其他經本會認定足以證明無資力之證明文件。</w:t>
      </w:r>
    </w:p>
    <w:p w:rsidR="00692F72" w:rsidRPr="009043DA" w:rsidRDefault="00692F72" w:rsidP="00692F72">
      <w:pPr>
        <w:ind w:leftChars="75" w:left="180"/>
        <w:jc w:val="both"/>
        <w:rPr>
          <w:rFonts w:ascii="Arial Unicode MS" w:hAnsi="Arial Unicode MS"/>
          <w:color w:val="17365D"/>
          <w:sz w:val="20"/>
        </w:rPr>
      </w:pPr>
      <w:r w:rsidRPr="009043DA">
        <w:rPr>
          <w:rFonts w:ascii="Arial Unicode MS" w:hAnsi="Arial Unicode MS"/>
          <w:color w:val="17365D"/>
          <w:sz w:val="20"/>
        </w:rPr>
        <w:t xml:space="preserve">　　前項申請案件，經通知限期補正，逾期未補正者，不予受理。</w:t>
      </w:r>
    </w:p>
    <w:p w:rsidR="00692F72" w:rsidRPr="00D67456" w:rsidRDefault="00692F72" w:rsidP="00FE48AA">
      <w:pPr>
        <w:pStyle w:val="2"/>
      </w:pPr>
      <w:r w:rsidRPr="00D67456">
        <w:t>第</w:t>
      </w:r>
      <w:r w:rsidRPr="00D67456">
        <w:t>11</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本會為審核申請輔助案件，應成立審核小組。審核小組置召集人一人，並為委員，由本會指派之；另置委</w:t>
      </w:r>
      <w:r w:rsidRPr="00D67456">
        <w:rPr>
          <w:rFonts w:ascii="Arial Unicode MS" w:hAnsi="Arial Unicode MS"/>
          <w:sz w:val="20"/>
        </w:rPr>
        <w:lastRenderedPageBreak/>
        <w:t>員六人，其中四人由專家學者擔任，餘由本會人員任之。專家學者之任期為二年。</w:t>
      </w:r>
    </w:p>
    <w:p w:rsidR="00692F72" w:rsidRPr="009043DA" w:rsidRDefault="00692F72" w:rsidP="00692F72">
      <w:pPr>
        <w:ind w:leftChars="75" w:left="180"/>
        <w:jc w:val="both"/>
        <w:rPr>
          <w:rFonts w:ascii="Arial Unicode MS" w:hAnsi="Arial Unicode MS"/>
          <w:color w:val="17365D"/>
          <w:sz w:val="20"/>
        </w:rPr>
      </w:pPr>
      <w:r w:rsidRPr="009043DA">
        <w:rPr>
          <w:rFonts w:ascii="Arial Unicode MS" w:hAnsi="Arial Unicode MS"/>
          <w:color w:val="17365D"/>
          <w:sz w:val="20"/>
        </w:rPr>
        <w:t xml:space="preserve">　　審核小組委員，對於審理之案件，應依行政程序法第</w:t>
      </w:r>
      <w:hyperlink r:id="rId18" w:anchor="a32" w:history="1">
        <w:r w:rsidRPr="009043DA">
          <w:rPr>
            <w:rStyle w:val="a3"/>
          </w:rPr>
          <w:t>三十二</w:t>
        </w:r>
      </w:hyperlink>
      <w:r w:rsidRPr="009043DA">
        <w:rPr>
          <w:rFonts w:ascii="Arial Unicode MS" w:hAnsi="Arial Unicode MS"/>
          <w:color w:val="17365D"/>
          <w:sz w:val="20"/>
        </w:rPr>
        <w:t>條、第</w:t>
      </w:r>
      <w:hyperlink r:id="rId19" w:anchor="a33" w:history="1">
        <w:r w:rsidRPr="009043DA">
          <w:rPr>
            <w:rStyle w:val="a3"/>
          </w:rPr>
          <w:t>三十三</w:t>
        </w:r>
      </w:hyperlink>
      <w:r w:rsidRPr="009043DA">
        <w:rPr>
          <w:rFonts w:ascii="Arial Unicode MS" w:hAnsi="Arial Unicode MS"/>
          <w:color w:val="17365D"/>
          <w:sz w:val="20"/>
        </w:rPr>
        <w:t>條規定迴避。</w:t>
      </w:r>
    </w:p>
    <w:p w:rsidR="00692F72" w:rsidRPr="00D67456" w:rsidRDefault="00692F72" w:rsidP="00FE48AA">
      <w:pPr>
        <w:pStyle w:val="2"/>
      </w:pPr>
      <w:r w:rsidRPr="00D67456">
        <w:t>第</w:t>
      </w:r>
      <w:r w:rsidRPr="00D67456">
        <w:t>12</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審核小組應有委員二分之一以上出席，始得開會。</w:t>
      </w:r>
    </w:p>
    <w:p w:rsidR="00692F72" w:rsidRPr="009043DA" w:rsidRDefault="00692F72" w:rsidP="00692F72">
      <w:pPr>
        <w:ind w:leftChars="75" w:left="180"/>
        <w:jc w:val="both"/>
        <w:rPr>
          <w:rFonts w:ascii="Arial Unicode MS" w:hAnsi="Arial Unicode MS"/>
          <w:color w:val="17365D"/>
          <w:sz w:val="20"/>
        </w:rPr>
      </w:pPr>
      <w:r w:rsidRPr="009043DA">
        <w:rPr>
          <w:rFonts w:ascii="Arial Unicode MS" w:hAnsi="Arial Unicode MS"/>
          <w:color w:val="17365D"/>
          <w:sz w:val="20"/>
        </w:rPr>
        <w:t xml:space="preserve">　　委員應親自出席，不得委任他人代理。召集人不能主持會議時，得指定委員一人代理。</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委員為無給職。但專家學者得依規定支領出席費。</w:t>
      </w:r>
    </w:p>
    <w:p w:rsidR="00692F72" w:rsidRPr="00D67456" w:rsidRDefault="00692F72" w:rsidP="00FE48AA">
      <w:pPr>
        <w:pStyle w:val="2"/>
      </w:pPr>
      <w:r w:rsidRPr="00D67456">
        <w:t>第</w:t>
      </w:r>
      <w:r w:rsidRPr="00D67456">
        <w:t>13</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本辦法所需經費，應依預算程序辦理。</w:t>
      </w:r>
    </w:p>
    <w:p w:rsidR="00692F72" w:rsidRPr="00D67456" w:rsidRDefault="00692F72" w:rsidP="00FE48AA">
      <w:pPr>
        <w:pStyle w:val="2"/>
      </w:pPr>
      <w:r w:rsidRPr="00D67456">
        <w:t>第</w:t>
      </w:r>
      <w:r w:rsidRPr="00D67456">
        <w:t>14</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本辦法之書表格式，由本會訂之。</w:t>
      </w:r>
    </w:p>
    <w:p w:rsidR="00692F72" w:rsidRPr="00D67456" w:rsidRDefault="00692F72" w:rsidP="00FE48AA">
      <w:pPr>
        <w:pStyle w:val="2"/>
      </w:pPr>
      <w:r w:rsidRPr="00D67456">
        <w:t>第</w:t>
      </w:r>
      <w:r w:rsidRPr="00D67456">
        <w:t>15</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勞工已獲地方政府補助訴訟費用者，已補助項目不得重複向本會申請。</w:t>
      </w:r>
    </w:p>
    <w:p w:rsidR="00692F72" w:rsidRPr="00D67456" w:rsidRDefault="00692F72" w:rsidP="00FE48AA">
      <w:pPr>
        <w:pStyle w:val="2"/>
      </w:pPr>
      <w:r w:rsidRPr="00D67456">
        <w:t>第</w:t>
      </w:r>
      <w:r w:rsidRPr="00D67456">
        <w:t>16</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有下列各款情形之一者，本會出具之保證書失其效力，勞工或其代理人應返還保證書：</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一、應供擔保之原因消滅者。</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二、訴訟終結後，供擔保人依法催告受擔保利益人行使權利而未行使者。</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三、假扣押執行程序實施前，撤回執行之聲請者。</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四、受擔保利益人同意本會免負保證責任者。</w:t>
      </w:r>
    </w:p>
    <w:p w:rsidR="00692F72" w:rsidRPr="00D67456" w:rsidRDefault="00692F72" w:rsidP="00FE48AA">
      <w:pPr>
        <w:pStyle w:val="2"/>
      </w:pPr>
      <w:r w:rsidRPr="00D67456">
        <w:t>第</w:t>
      </w:r>
      <w:r w:rsidRPr="00D67456">
        <w:t>17</w:t>
      </w:r>
      <w:r w:rsidRPr="00D67456">
        <w:t>條</w:t>
      </w:r>
    </w:p>
    <w:p w:rsidR="00692F72" w:rsidRPr="00D67456" w:rsidRDefault="00692F72" w:rsidP="00692F72">
      <w:pPr>
        <w:ind w:leftChars="75" w:left="180"/>
        <w:jc w:val="both"/>
        <w:rPr>
          <w:rFonts w:ascii="Arial Unicode MS" w:hAnsi="Arial Unicode MS"/>
          <w:sz w:val="20"/>
        </w:rPr>
      </w:pPr>
      <w:r w:rsidRPr="00D67456">
        <w:rPr>
          <w:rFonts w:ascii="Arial Unicode MS" w:hAnsi="Arial Unicode MS"/>
          <w:sz w:val="20"/>
        </w:rPr>
        <w:t xml:space="preserve">　　本辦法自發布日施行。</w:t>
      </w:r>
    </w:p>
    <w:p w:rsidR="00692F72" w:rsidRPr="00D67456" w:rsidRDefault="00692F72" w:rsidP="00692F72">
      <w:pPr>
        <w:ind w:leftChars="75" w:left="180"/>
        <w:jc w:val="both"/>
        <w:rPr>
          <w:rFonts w:ascii="Arial Unicode MS" w:hAnsi="Arial Unicode MS"/>
          <w:sz w:val="20"/>
        </w:rPr>
      </w:pPr>
    </w:p>
    <w:p w:rsidR="00585692" w:rsidRPr="00D67456" w:rsidRDefault="00585692" w:rsidP="00692F72">
      <w:pPr>
        <w:ind w:leftChars="75" w:left="180"/>
        <w:jc w:val="both"/>
        <w:rPr>
          <w:rFonts w:ascii="Arial Unicode MS" w:hAnsi="Arial Unicode MS"/>
          <w:sz w:val="20"/>
        </w:rPr>
      </w:pPr>
    </w:p>
    <w:p w:rsidR="00445563" w:rsidRPr="00E5474F" w:rsidRDefault="00445563" w:rsidP="00445563">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w:t>
        </w:r>
        <w:r w:rsidRPr="00E5474F">
          <w:rPr>
            <w:rStyle w:val="a3"/>
            <w:sz w:val="18"/>
          </w:rPr>
          <w:t>首</w:t>
        </w:r>
        <w:r w:rsidRPr="00E5474F">
          <w:rPr>
            <w:rStyle w:val="a3"/>
            <w:sz w:val="18"/>
          </w:rPr>
          <w:t>頁</w:t>
        </w:r>
      </w:hyperlink>
      <w:r w:rsidRPr="00E5474F">
        <w:rPr>
          <w:rFonts w:ascii="新細明體" w:hAnsi="新細明體"/>
          <w:color w:val="808000"/>
          <w:sz w:val="18"/>
        </w:rPr>
        <w:t>&gt;&gt;</w:t>
      </w:r>
    </w:p>
    <w:p w:rsidR="00692F72" w:rsidRPr="00445563" w:rsidRDefault="00445563" w:rsidP="00692F72">
      <w:pPr>
        <w:ind w:leftChars="75" w:left="180"/>
        <w:jc w:val="both"/>
        <w:rPr>
          <w:rFonts w:ascii="Arial Unicode MS" w:hAnsi="Arial Unicode MS" w:cs="Arial Unicode MS"/>
          <w:sz w:val="20"/>
        </w:rPr>
      </w:pPr>
      <w:r>
        <w:rPr>
          <w:rFonts w:ascii="Arial Unicode MS" w:hAnsi="Arial Unicode MS" w:hint="eastAsia"/>
          <w:color w:val="808080"/>
          <w:sz w:val="18"/>
          <w:szCs w:val="18"/>
        </w:rPr>
        <w:t>【編註】本超連結法規檔以</w:t>
      </w:r>
      <w:hyperlink r:id="rId20"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1"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2"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3"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692F72" w:rsidRPr="00445563">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F5C" w:rsidRDefault="003A6F5C">
      <w:r>
        <w:separator/>
      </w:r>
    </w:p>
  </w:endnote>
  <w:endnote w:type="continuationSeparator" w:id="0">
    <w:p w:rsidR="003A6F5C" w:rsidRDefault="003A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72" w:rsidRDefault="00692F7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92F72" w:rsidRDefault="00692F7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72" w:rsidRDefault="00692F7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45563">
      <w:rPr>
        <w:rStyle w:val="a6"/>
        <w:noProof/>
      </w:rPr>
      <w:t>1</w:t>
    </w:r>
    <w:r>
      <w:rPr>
        <w:rStyle w:val="a6"/>
      </w:rPr>
      <w:fldChar w:fldCharType="end"/>
    </w:r>
  </w:p>
  <w:p w:rsidR="00692F72" w:rsidRPr="00FE48AA" w:rsidRDefault="00692F72">
    <w:pPr>
      <w:pStyle w:val="a5"/>
      <w:ind w:right="360"/>
      <w:jc w:val="right"/>
      <w:rPr>
        <w:rFonts w:ascii="Arial Unicode MS" w:hAnsi="Arial Unicode MS"/>
        <w:sz w:val="18"/>
      </w:rPr>
    </w:pPr>
    <w:r w:rsidRPr="00FE48AA">
      <w:rPr>
        <w:rFonts w:ascii="Arial Unicode MS" w:hAnsi="Arial Unicode MS" w:hint="eastAsia"/>
        <w:sz w:val="18"/>
      </w:rPr>
      <w:t>&lt;&lt;</w:t>
    </w:r>
    <w:r w:rsidRPr="00FE48AA">
      <w:rPr>
        <w:rFonts w:ascii="Arial Unicode MS" w:hAnsi="Arial Unicode MS" w:hint="eastAsia"/>
        <w:sz w:val="18"/>
      </w:rPr>
      <w:t>勞工訴訟輔助辦法</w:t>
    </w:r>
    <w:r w:rsidR="00BA59CB" w:rsidRPr="00FE48AA">
      <w:rPr>
        <w:rFonts w:ascii="Arial Unicode MS" w:hAnsi="Arial Unicode MS" w:hint="eastAsia"/>
        <w:sz w:val="18"/>
      </w:rPr>
      <w:t>(</w:t>
    </w:r>
    <w:r w:rsidR="00BA59CB" w:rsidRPr="00FE48AA">
      <w:rPr>
        <w:rFonts w:ascii="Arial Unicode MS" w:hAnsi="Arial Unicode MS" w:hint="eastAsia"/>
        <w:sz w:val="18"/>
      </w:rPr>
      <w:t>廢</w:t>
    </w:r>
    <w:r w:rsidR="00BA59CB" w:rsidRPr="00FE48AA">
      <w:rPr>
        <w:rFonts w:ascii="Arial Unicode MS" w:hAnsi="Arial Unicode MS" w:hint="eastAsia"/>
        <w:sz w:val="18"/>
      </w:rPr>
      <w:t>)</w:t>
    </w:r>
    <w:r w:rsidRPr="00FE48AA">
      <w:rPr>
        <w:rFonts w:ascii="Arial Unicode MS" w:hAnsi="Arial Unicode MS" w:hint="eastAsia"/>
        <w:sz w:val="18"/>
      </w:rPr>
      <w:t>&gt;&gt;S-link</w:t>
    </w:r>
    <w:r w:rsidRPr="00FE48AA">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F5C" w:rsidRDefault="003A6F5C">
      <w:r>
        <w:separator/>
      </w:r>
    </w:p>
  </w:footnote>
  <w:footnote w:type="continuationSeparator" w:id="0">
    <w:p w:rsidR="003A6F5C" w:rsidRDefault="003A6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30786"/>
    <w:multiLevelType w:val="hybridMultilevel"/>
    <w:tmpl w:val="C0A03BC8"/>
    <w:lvl w:ilvl="0" w:tplc="DFE61C00">
      <w:start w:val="1"/>
      <w:numFmt w:val="bullet"/>
      <w:lvlText w:val=""/>
      <w:lvlJc w:val="left"/>
      <w:pPr>
        <w:tabs>
          <w:tab w:val="num" w:pos="720"/>
        </w:tabs>
        <w:ind w:left="720" w:hanging="360"/>
      </w:pPr>
      <w:rPr>
        <w:rFonts w:ascii="Symbol" w:hAnsi="Symbol" w:hint="default"/>
        <w:sz w:val="20"/>
      </w:rPr>
    </w:lvl>
    <w:lvl w:ilvl="1" w:tplc="8274124C" w:tentative="1">
      <w:start w:val="1"/>
      <w:numFmt w:val="bullet"/>
      <w:lvlText w:val="o"/>
      <w:lvlJc w:val="left"/>
      <w:pPr>
        <w:tabs>
          <w:tab w:val="num" w:pos="1440"/>
        </w:tabs>
        <w:ind w:left="1440" w:hanging="360"/>
      </w:pPr>
      <w:rPr>
        <w:rFonts w:ascii="Courier New" w:hAnsi="Courier New" w:hint="default"/>
        <w:sz w:val="20"/>
      </w:rPr>
    </w:lvl>
    <w:lvl w:ilvl="2" w:tplc="63043048" w:tentative="1">
      <w:start w:val="1"/>
      <w:numFmt w:val="bullet"/>
      <w:lvlText w:val=""/>
      <w:lvlJc w:val="left"/>
      <w:pPr>
        <w:tabs>
          <w:tab w:val="num" w:pos="2160"/>
        </w:tabs>
        <w:ind w:left="2160" w:hanging="360"/>
      </w:pPr>
      <w:rPr>
        <w:rFonts w:ascii="Wingdings" w:hAnsi="Wingdings" w:hint="default"/>
        <w:sz w:val="20"/>
      </w:rPr>
    </w:lvl>
    <w:lvl w:ilvl="3" w:tplc="83024D56" w:tentative="1">
      <w:start w:val="1"/>
      <w:numFmt w:val="bullet"/>
      <w:lvlText w:val=""/>
      <w:lvlJc w:val="left"/>
      <w:pPr>
        <w:tabs>
          <w:tab w:val="num" w:pos="2880"/>
        </w:tabs>
        <w:ind w:left="2880" w:hanging="360"/>
      </w:pPr>
      <w:rPr>
        <w:rFonts w:ascii="Wingdings" w:hAnsi="Wingdings" w:hint="default"/>
        <w:sz w:val="20"/>
      </w:rPr>
    </w:lvl>
    <w:lvl w:ilvl="4" w:tplc="3DB8070A" w:tentative="1">
      <w:start w:val="1"/>
      <w:numFmt w:val="bullet"/>
      <w:lvlText w:val=""/>
      <w:lvlJc w:val="left"/>
      <w:pPr>
        <w:tabs>
          <w:tab w:val="num" w:pos="3600"/>
        </w:tabs>
        <w:ind w:left="3600" w:hanging="360"/>
      </w:pPr>
      <w:rPr>
        <w:rFonts w:ascii="Wingdings" w:hAnsi="Wingdings" w:hint="default"/>
        <w:sz w:val="20"/>
      </w:rPr>
    </w:lvl>
    <w:lvl w:ilvl="5" w:tplc="738A040A" w:tentative="1">
      <w:start w:val="1"/>
      <w:numFmt w:val="bullet"/>
      <w:lvlText w:val=""/>
      <w:lvlJc w:val="left"/>
      <w:pPr>
        <w:tabs>
          <w:tab w:val="num" w:pos="4320"/>
        </w:tabs>
        <w:ind w:left="4320" w:hanging="360"/>
      </w:pPr>
      <w:rPr>
        <w:rFonts w:ascii="Wingdings" w:hAnsi="Wingdings" w:hint="default"/>
        <w:sz w:val="20"/>
      </w:rPr>
    </w:lvl>
    <w:lvl w:ilvl="6" w:tplc="4D9A92FE" w:tentative="1">
      <w:start w:val="1"/>
      <w:numFmt w:val="bullet"/>
      <w:lvlText w:val=""/>
      <w:lvlJc w:val="left"/>
      <w:pPr>
        <w:tabs>
          <w:tab w:val="num" w:pos="5040"/>
        </w:tabs>
        <w:ind w:left="5040" w:hanging="360"/>
      </w:pPr>
      <w:rPr>
        <w:rFonts w:ascii="Wingdings" w:hAnsi="Wingdings" w:hint="default"/>
        <w:sz w:val="20"/>
      </w:rPr>
    </w:lvl>
    <w:lvl w:ilvl="7" w:tplc="C4F8FB5A" w:tentative="1">
      <w:start w:val="1"/>
      <w:numFmt w:val="bullet"/>
      <w:lvlText w:val=""/>
      <w:lvlJc w:val="left"/>
      <w:pPr>
        <w:tabs>
          <w:tab w:val="num" w:pos="5760"/>
        </w:tabs>
        <w:ind w:left="5760" w:hanging="360"/>
      </w:pPr>
      <w:rPr>
        <w:rFonts w:ascii="Wingdings" w:hAnsi="Wingdings" w:hint="default"/>
        <w:sz w:val="20"/>
      </w:rPr>
    </w:lvl>
    <w:lvl w:ilvl="8" w:tplc="61626BA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F72"/>
    <w:rsid w:val="0007662A"/>
    <w:rsid w:val="000F080C"/>
    <w:rsid w:val="00157A07"/>
    <w:rsid w:val="003A6F5C"/>
    <w:rsid w:val="003C6E5E"/>
    <w:rsid w:val="00445563"/>
    <w:rsid w:val="00532CC7"/>
    <w:rsid w:val="005430E0"/>
    <w:rsid w:val="00585692"/>
    <w:rsid w:val="00692F72"/>
    <w:rsid w:val="006A263D"/>
    <w:rsid w:val="0070465C"/>
    <w:rsid w:val="00724A95"/>
    <w:rsid w:val="0072692D"/>
    <w:rsid w:val="00773BB3"/>
    <w:rsid w:val="00901871"/>
    <w:rsid w:val="009043DA"/>
    <w:rsid w:val="009A58CD"/>
    <w:rsid w:val="00A57B23"/>
    <w:rsid w:val="00AC0888"/>
    <w:rsid w:val="00B63F16"/>
    <w:rsid w:val="00B65EDB"/>
    <w:rsid w:val="00BA59CB"/>
    <w:rsid w:val="00BC66F9"/>
    <w:rsid w:val="00C743EE"/>
    <w:rsid w:val="00C82F03"/>
    <w:rsid w:val="00CE256A"/>
    <w:rsid w:val="00D67456"/>
    <w:rsid w:val="00DA7942"/>
    <w:rsid w:val="00DD1F51"/>
    <w:rsid w:val="00DE6CB9"/>
    <w:rsid w:val="00DF5272"/>
    <w:rsid w:val="00FE3126"/>
    <w:rsid w:val="00FE4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FE48AA"/>
    <w:pPr>
      <w:keepNext/>
      <w:adjustRightInd w:val="0"/>
      <w:snapToGrid w:val="0"/>
      <w:spacing w:before="100" w:beforeAutospacing="1" w:after="100" w:afterAutospacing="1"/>
      <w:outlineLvl w:val="1"/>
    </w:pPr>
    <w:rPr>
      <w:rFonts w:ascii="Arial Unicode MS" w:hAnsi="Arial Unicode MS" w:cs="Arial Unicode MS"/>
      <w:b/>
      <w:bCs/>
      <w:color w:val="993366"/>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customStyle="1" w:styleId="20">
    <w:name w:val="標題 2 字元"/>
    <w:link w:val="2"/>
    <w:rsid w:val="00FE48AA"/>
    <w:rPr>
      <w:rFonts w:ascii="Arial Unicode MS" w:hAnsi="Arial Unicode MS" w:cs="Arial Unicode MS"/>
      <w:b/>
      <w:bCs/>
      <w:color w:val="993366"/>
      <w:kern w:val="2"/>
      <w:szCs w:val="48"/>
    </w:rPr>
  </w:style>
  <w:style w:type="paragraph" w:styleId="a8">
    <w:name w:val="Document Map"/>
    <w:basedOn w:val="a"/>
    <w:link w:val="a9"/>
    <w:rsid w:val="003C6E5E"/>
    <w:rPr>
      <w:rFonts w:ascii="新細明體"/>
      <w:sz w:val="18"/>
      <w:szCs w:val="18"/>
    </w:rPr>
  </w:style>
  <w:style w:type="character" w:customStyle="1" w:styleId="a9">
    <w:name w:val="文件引導模式 字元"/>
    <w:link w:val="a8"/>
    <w:rsid w:val="003C6E5E"/>
    <w:rPr>
      <w:rFonts w:ascii="新細明體"/>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34892;&#25919;&#31243;&#24207;&#27861;.doc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y.gov.tw/" TargetMode="External"/><Relationship Id="rId7" Type="http://schemas.openxmlformats.org/officeDocument/2006/relationships/endnotes" Target="endnotes.xml"/><Relationship Id="rId12" Type="http://schemas.openxmlformats.org/officeDocument/2006/relationships/hyperlink" Target="http://www.6law.idv.tw/" TargetMode="External"/><Relationship Id="rId17" Type="http://schemas.openxmlformats.org/officeDocument/2006/relationships/hyperlink" Target="../law/&#21214;&#24037;&#23433;&#20840;&#34907;&#29983;&#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21214;&#24037;&#23433;&#20840;&#34907;&#29983;&#27861;.docx" TargetMode="External"/><Relationship Id="rId20" Type="http://schemas.openxmlformats.org/officeDocument/2006/relationships/hyperlink" Target="http://www.president.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6law.idv.tw/6law/law3/&#21214;&#24037;&#35380;&#35359;&#36628;&#21161;&#36774;&#27861;.htm" TargetMode="External"/><Relationship Id="rId23" Type="http://schemas.openxmlformats.org/officeDocument/2006/relationships/hyperlink" Target="mailto:anita399646@hotmail.com" TargetMode="External"/><Relationship Id="rId10" Type="http://schemas.openxmlformats.org/officeDocument/2006/relationships/hyperlink" Target="http://www.6law.idv.tw/update.htm" TargetMode="External"/><Relationship Id="rId19" Type="http://schemas.openxmlformats.org/officeDocument/2006/relationships/hyperlink" Target="../law/&#34892;&#25919;&#31243;&#24207;&#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0998;&#39006;&#27861;&#35215;&#32034;&#24341;.docx" TargetMode="External"/><Relationship Id="rId22" Type="http://schemas.openxmlformats.org/officeDocument/2006/relationships/hyperlink" Target="http://law.moj.gov.tw/"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Links>
    <vt:vector size="120" baseType="variant">
      <vt:variant>
        <vt:i4>2949124</vt:i4>
      </vt:variant>
      <vt:variant>
        <vt:i4>57</vt:i4>
      </vt:variant>
      <vt:variant>
        <vt:i4>0</vt:i4>
      </vt:variant>
      <vt:variant>
        <vt:i4>5</vt:i4>
      </vt:variant>
      <vt:variant>
        <vt:lpwstr>mailto:anita399646@hotmail.com</vt:lpwstr>
      </vt:variant>
      <vt:variant>
        <vt:lpwstr/>
      </vt:variant>
      <vt:variant>
        <vt:i4>8192049</vt:i4>
      </vt:variant>
      <vt:variant>
        <vt:i4>54</vt:i4>
      </vt:variant>
      <vt:variant>
        <vt:i4>0</vt:i4>
      </vt:variant>
      <vt:variant>
        <vt:i4>5</vt:i4>
      </vt:variant>
      <vt:variant>
        <vt:lpwstr>http://law.moj.gov.tw/</vt:lpwstr>
      </vt:variant>
      <vt:variant>
        <vt:lpwstr/>
      </vt:variant>
      <vt:variant>
        <vt:i4>6225996</vt:i4>
      </vt:variant>
      <vt:variant>
        <vt:i4>51</vt:i4>
      </vt:variant>
      <vt:variant>
        <vt:i4>0</vt:i4>
      </vt:variant>
      <vt:variant>
        <vt:i4>5</vt:i4>
      </vt:variant>
      <vt:variant>
        <vt:lpwstr>http://www.ly.gov.tw/</vt:lpwstr>
      </vt:variant>
      <vt:variant>
        <vt:lpwstr/>
      </vt:variant>
      <vt:variant>
        <vt:i4>786499</vt:i4>
      </vt:variant>
      <vt:variant>
        <vt:i4>48</vt:i4>
      </vt:variant>
      <vt:variant>
        <vt:i4>0</vt:i4>
      </vt:variant>
      <vt:variant>
        <vt:i4>5</vt:i4>
      </vt:variant>
      <vt:variant>
        <vt:lpwstr>http://www.president.gov.tw/</vt:lpwstr>
      </vt:variant>
      <vt:variant>
        <vt:lpwstr/>
      </vt:variant>
      <vt:variant>
        <vt:i4>7274612</vt:i4>
      </vt:variant>
      <vt:variant>
        <vt:i4>44</vt:i4>
      </vt:variant>
      <vt:variant>
        <vt:i4>0</vt:i4>
      </vt:variant>
      <vt:variant>
        <vt:i4>5</vt:i4>
      </vt:variant>
      <vt:variant>
        <vt:lpwstr/>
      </vt:variant>
      <vt:variant>
        <vt:lpwstr>top</vt:lpwstr>
      </vt:variant>
      <vt:variant>
        <vt:i4>7274612</vt:i4>
      </vt:variant>
      <vt:variant>
        <vt:i4>42</vt:i4>
      </vt:variant>
      <vt:variant>
        <vt:i4>0</vt:i4>
      </vt:variant>
      <vt:variant>
        <vt:i4>5</vt:i4>
      </vt:variant>
      <vt:variant>
        <vt:lpwstr/>
      </vt:variant>
      <vt:variant>
        <vt:lpwstr>top</vt:lpwstr>
      </vt:variant>
      <vt:variant>
        <vt:i4>-1634518049</vt:i4>
      </vt:variant>
      <vt:variant>
        <vt:i4>39</vt:i4>
      </vt:variant>
      <vt:variant>
        <vt:i4>0</vt:i4>
      </vt:variant>
      <vt:variant>
        <vt:i4>5</vt:i4>
      </vt:variant>
      <vt:variant>
        <vt:lpwstr>..\law\行政程序法.doc</vt:lpwstr>
      </vt:variant>
      <vt:variant>
        <vt:lpwstr>a33</vt:lpwstr>
      </vt:variant>
      <vt:variant>
        <vt:i4>-1634518049</vt:i4>
      </vt:variant>
      <vt:variant>
        <vt:i4>36</vt:i4>
      </vt:variant>
      <vt:variant>
        <vt:i4>0</vt:i4>
      </vt:variant>
      <vt:variant>
        <vt:i4>5</vt:i4>
      </vt:variant>
      <vt:variant>
        <vt:lpwstr>..\law\行政程序法.doc</vt:lpwstr>
      </vt:variant>
      <vt:variant>
        <vt:lpwstr>a32</vt:lpwstr>
      </vt:variant>
      <vt:variant>
        <vt:i4>-303335012</vt:i4>
      </vt:variant>
      <vt:variant>
        <vt:i4>33</vt:i4>
      </vt:variant>
      <vt:variant>
        <vt:i4>0</vt:i4>
      </vt:variant>
      <vt:variant>
        <vt:i4>5</vt:i4>
      </vt:variant>
      <vt:variant>
        <vt:lpwstr>../law/勞工安全衛生法.doc</vt:lpwstr>
      </vt:variant>
      <vt:variant>
        <vt:lpwstr/>
      </vt:variant>
      <vt:variant>
        <vt:i4>-303335012</vt:i4>
      </vt:variant>
      <vt:variant>
        <vt:i4>30</vt:i4>
      </vt:variant>
      <vt:variant>
        <vt:i4>0</vt:i4>
      </vt:variant>
      <vt:variant>
        <vt:i4>5</vt:i4>
      </vt:variant>
      <vt:variant>
        <vt:lpwstr>../law/勞工安全衛生法.doc</vt:lpwstr>
      </vt:variant>
      <vt:variant>
        <vt:lpwstr/>
      </vt:variant>
      <vt:variant>
        <vt:i4>3735649</vt:i4>
      </vt:variant>
      <vt:variant>
        <vt:i4>27</vt:i4>
      </vt:variant>
      <vt:variant>
        <vt:i4>0</vt:i4>
      </vt:variant>
      <vt:variant>
        <vt:i4>5</vt:i4>
      </vt:variant>
      <vt:variant>
        <vt:lpwstr/>
      </vt:variant>
      <vt:variant>
        <vt:lpwstr>a9</vt:lpwstr>
      </vt:variant>
      <vt:variant>
        <vt:i4>3604577</vt:i4>
      </vt:variant>
      <vt:variant>
        <vt:i4>24</vt:i4>
      </vt:variant>
      <vt:variant>
        <vt:i4>0</vt:i4>
      </vt:variant>
      <vt:variant>
        <vt:i4>5</vt:i4>
      </vt:variant>
      <vt:variant>
        <vt:lpwstr/>
      </vt:variant>
      <vt:variant>
        <vt:lpwstr>a7</vt:lpwstr>
      </vt:variant>
      <vt:variant>
        <vt:i4>3407969</vt:i4>
      </vt:variant>
      <vt:variant>
        <vt:i4>21</vt:i4>
      </vt:variant>
      <vt:variant>
        <vt:i4>0</vt:i4>
      </vt:variant>
      <vt:variant>
        <vt:i4>5</vt:i4>
      </vt:variant>
      <vt:variant>
        <vt:lpwstr/>
      </vt:variant>
      <vt:variant>
        <vt:lpwstr>a4</vt:lpwstr>
      </vt:variant>
      <vt:variant>
        <vt:i4>-666375730</vt:i4>
      </vt:variant>
      <vt:variant>
        <vt:i4>18</vt:i4>
      </vt:variant>
      <vt:variant>
        <vt:i4>0</vt:i4>
      </vt:variant>
      <vt:variant>
        <vt:i4>5</vt:i4>
      </vt:variant>
      <vt:variant>
        <vt:lpwstr>http://www.6law.idv.tw/6law/law3/勞工訴訟輔助辦法.htm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廢:勞工訴訟輔助辦法</dc:title>
  <dc:subject/>
  <dc:creator>S-link 電子六法-黃婉玲</dc:creator>
  <cp:keywords/>
  <dc:description/>
  <cp:lastModifiedBy>Anita</cp:lastModifiedBy>
  <cp:revision>3</cp:revision>
  <dcterms:created xsi:type="dcterms:W3CDTF">2014-11-27T15:47:00Z</dcterms:created>
  <dcterms:modified xsi:type="dcterms:W3CDTF">2016-06-06T12:51:00Z</dcterms:modified>
</cp:coreProperties>
</file>