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A2CAD"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790F81CB" wp14:editId="62F34C18">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D50DF02" w14:textId="4CDF6A73"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DE2606">
        <w:rPr>
          <w:rFonts w:ascii="Arial Unicode MS" w:hAnsi="Arial Unicode MS"/>
          <w:color w:val="7F7F7F"/>
          <w:sz w:val="18"/>
          <w:szCs w:val="20"/>
        </w:rPr>
        <w:t>2021/3/29</w:t>
      </w:r>
      <w:r>
        <w:rPr>
          <w:rFonts w:hint="eastAsia"/>
          <w:color w:val="7F7F7F"/>
          <w:sz w:val="18"/>
          <w:szCs w:val="20"/>
          <w:lang w:val="zh-TW"/>
        </w:rPr>
        <w:t>【</w:t>
      </w:r>
      <w:hyperlink r:id="rId9" w:history="1">
        <w:r w:rsidRPr="008D6D17">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52883AB9" w14:textId="2A8BAA00" w:rsidR="0045425A" w:rsidRPr="000509F5" w:rsidRDefault="00A879A3" w:rsidP="005D6F38">
      <w:pPr>
        <w:ind w:rightChars="-110" w:right="-220" w:firstLineChars="2880" w:firstLine="5184"/>
        <w:jc w:val="right"/>
        <w:rPr>
          <w:rFonts w:ascii="Arial Unicode MS" w:hAnsi="Arial Unicode MS"/>
          <w:color w:val="000080"/>
          <w:u w:val="single"/>
        </w:rPr>
      </w:pPr>
      <w:r w:rsidRPr="00826547">
        <w:rPr>
          <w:rFonts w:hint="eastAsia"/>
          <w:color w:val="808000"/>
          <w:sz w:val="18"/>
          <w:szCs w:val="20"/>
        </w:rPr>
        <w:t>（建議使用工具列</w:t>
      </w:r>
      <w:r w:rsidRPr="007B36A7">
        <w:rPr>
          <w:rFonts w:ascii="Arial Unicode MS" w:hAnsi="Arial Unicode MS" w:cs="MS Gothic"/>
          <w:color w:val="808000"/>
          <w:sz w:val="16"/>
          <w:szCs w:val="20"/>
        </w:rPr>
        <w:t>➨</w:t>
      </w:r>
      <w:r w:rsidRPr="00826547">
        <w:rPr>
          <w:rFonts w:hint="eastAsia"/>
          <w:color w:val="808000"/>
          <w:sz w:val="18"/>
          <w:szCs w:val="20"/>
        </w:rPr>
        <w:t>檢視</w:t>
      </w:r>
      <w:r w:rsidRPr="007B36A7">
        <w:rPr>
          <w:rFonts w:ascii="Arial Unicode MS" w:hAnsi="Arial Unicode MS" w:cs="MS Gothic"/>
          <w:color w:val="808000"/>
          <w:sz w:val="16"/>
          <w:szCs w:val="20"/>
        </w:rPr>
        <w:t>➨</w:t>
      </w:r>
      <w:r>
        <w:rPr>
          <w:rFonts w:hint="eastAsia"/>
          <w:color w:val="808000"/>
          <w:sz w:val="18"/>
          <w:szCs w:val="20"/>
        </w:rPr>
        <w:t>文件</w:t>
      </w:r>
      <w:r w:rsidRPr="00826547">
        <w:rPr>
          <w:rFonts w:hint="eastAsia"/>
          <w:color w:val="808000"/>
          <w:sz w:val="18"/>
          <w:szCs w:val="20"/>
        </w:rPr>
        <w:t>引導模式</w:t>
      </w:r>
      <w:r w:rsidRPr="00826547">
        <w:rPr>
          <w:color w:val="808000"/>
          <w:sz w:val="18"/>
          <w:szCs w:val="20"/>
        </w:rPr>
        <w:t>/</w:t>
      </w:r>
      <w:r w:rsidRPr="00826547">
        <w:rPr>
          <w:color w:val="808000"/>
          <w:sz w:val="18"/>
          <w:szCs w:val="20"/>
        </w:rPr>
        <w:t>功能窗格</w:t>
      </w:r>
      <w:r w:rsidRPr="00826547">
        <w:rPr>
          <w:rFonts w:hint="eastAsia"/>
          <w:color w:val="808000"/>
          <w:sz w:val="18"/>
          <w:szCs w:val="20"/>
        </w:rPr>
        <w:t>）</w:t>
      </w:r>
    </w:p>
    <w:tbl>
      <w:tblPr>
        <w:tblW w:w="5074" w:type="pct"/>
        <w:tblCellSpacing w:w="0" w:type="dxa"/>
        <w:tblInd w:w="15" w:type="dxa"/>
        <w:tblCellMar>
          <w:left w:w="0" w:type="dxa"/>
          <w:right w:w="0" w:type="dxa"/>
        </w:tblCellMar>
        <w:tblLook w:val="0000" w:firstRow="0" w:lastRow="0" w:firstColumn="0" w:lastColumn="0" w:noHBand="0" w:noVBand="0"/>
      </w:tblPr>
      <w:tblGrid>
        <w:gridCol w:w="1403"/>
        <w:gridCol w:w="5775"/>
        <w:gridCol w:w="2890"/>
      </w:tblGrid>
      <w:tr w:rsidR="0045425A" w:rsidRPr="000509F5" w14:paraId="18F8C5D2" w14:textId="77777777" w:rsidTr="00AB72F0">
        <w:trPr>
          <w:cantSplit/>
          <w:tblCellSpacing w:w="0" w:type="dxa"/>
        </w:trPr>
        <w:tc>
          <w:tcPr>
            <w:tcW w:w="697" w:type="pct"/>
            <w:tcBorders>
              <w:top w:val="nil"/>
              <w:left w:val="nil"/>
              <w:bottom w:val="nil"/>
              <w:right w:val="nil"/>
            </w:tcBorders>
            <w:shd w:val="clear" w:color="auto" w:fill="339966"/>
            <w:vAlign w:val="center"/>
          </w:tcPr>
          <w:p w14:paraId="4F41B3BB"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2868" w:type="pct"/>
            <w:tcBorders>
              <w:top w:val="nil"/>
              <w:left w:val="nil"/>
              <w:bottom w:val="nil"/>
              <w:right w:val="nil"/>
            </w:tcBorders>
            <w:shd w:val="clear" w:color="auto" w:fill="F6FCF9"/>
            <w:vAlign w:val="center"/>
          </w:tcPr>
          <w:p w14:paraId="2698F5AF" w14:textId="77777777" w:rsidR="0045425A" w:rsidRPr="000A5999" w:rsidRDefault="00D07FFC"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D07FFC">
              <w:rPr>
                <w:rFonts w:eastAsia="標楷體" w:hint="eastAsia"/>
                <w:sz w:val="28"/>
                <w:szCs w:val="28"/>
                <w14:shadow w14:blurRad="50800" w14:dist="38100" w14:dir="2700000" w14:sx="100000" w14:sy="100000" w14:kx="0" w14:ky="0" w14:algn="tl">
                  <w14:srgbClr w14:val="000000">
                    <w14:alpha w14:val="60000"/>
                  </w14:srgbClr>
                </w14:shadow>
              </w:rPr>
              <w:t>違反廢棄物清理法罰鍰額度裁罰準則</w:t>
            </w:r>
          </w:p>
        </w:tc>
        <w:tc>
          <w:tcPr>
            <w:tcW w:w="1435" w:type="pct"/>
            <w:tcBorders>
              <w:top w:val="nil"/>
              <w:left w:val="nil"/>
              <w:bottom w:val="nil"/>
              <w:right w:val="nil"/>
            </w:tcBorders>
            <w:shd w:val="clear" w:color="auto" w:fill="F6FCF9"/>
            <w:vAlign w:val="center"/>
          </w:tcPr>
          <w:p w14:paraId="551611DD" w14:textId="3082C126" w:rsidR="00EC7AEC" w:rsidRPr="004E2FEA" w:rsidRDefault="0045425A" w:rsidP="005D6F38">
            <w:pPr>
              <w:ind w:leftChars="-6" w:left="-12"/>
              <w:jc w:val="both"/>
              <w:rPr>
                <w:rFonts w:ascii="Arial Unicode MS" w:hAnsi="Arial Unicode MS"/>
              </w:rPr>
            </w:pPr>
            <w:r w:rsidRPr="004E2FEA">
              <w:rPr>
                <w:rFonts w:ascii="Arial Unicode MS" w:hAnsi="Arial Unicode MS"/>
              </w:rPr>
              <w:t>【公布日期】</w:t>
            </w:r>
            <w:r w:rsidR="00972FA0">
              <w:rPr>
                <w:rFonts w:ascii="Arial Unicode MS" w:hAnsi="Arial Unicode MS" w:hint="eastAsia"/>
              </w:rPr>
              <w:t>1</w:t>
            </w:r>
            <w:r w:rsidR="00972FA0">
              <w:rPr>
                <w:rFonts w:ascii="Arial Unicode MS" w:hAnsi="Arial Unicode MS"/>
              </w:rPr>
              <w:t>10.03.18</w:t>
            </w:r>
          </w:p>
          <w:p w14:paraId="4AB83C94" w14:textId="68C723A4"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【公布機關】</w:t>
            </w:r>
            <w:hyperlink r:id="rId11" w:tgtFrame="_blank" w:history="1">
              <w:r w:rsidR="00B20896" w:rsidRPr="00A35816">
                <w:rPr>
                  <w:rStyle w:val="a3"/>
                  <w:sz w:val="18"/>
                </w:rPr>
                <w:t>行政院環境保護署</w:t>
              </w:r>
            </w:hyperlink>
          </w:p>
        </w:tc>
      </w:tr>
    </w:tbl>
    <w:p w14:paraId="1AC9CAC7" w14:textId="77777777"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違反廢棄物清理法罰鍰額度裁罰準則"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4A7504B1"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0641D053" w14:textId="4B8D9056" w:rsidR="00EC7AEC" w:rsidRDefault="0045425A" w:rsidP="00EC7AEC">
      <w:pPr>
        <w:ind w:firstLineChars="100" w:firstLine="180"/>
        <w:rPr>
          <w:rFonts w:ascii="Arial Unicode MS" w:hAnsi="Arial Unicode MS"/>
          <w:sz w:val="18"/>
        </w:rPr>
      </w:pPr>
      <w:r w:rsidRPr="00EB27D6">
        <w:rPr>
          <w:rFonts w:ascii="Arial Unicode MS" w:hAnsi="Arial Unicode MS"/>
          <w:b/>
          <w:sz w:val="18"/>
        </w:rPr>
        <w:t>1</w:t>
      </w:r>
      <w:r w:rsidR="00EB27D6" w:rsidRPr="00EB27D6">
        <w:rPr>
          <w:rFonts w:ascii="新細明體" w:hAnsi="新細明體"/>
        </w:rPr>
        <w:t>‧</w:t>
      </w:r>
      <w:r w:rsidR="00682445" w:rsidRPr="00682445">
        <w:rPr>
          <w:rFonts w:ascii="Arial Unicode MS" w:hAnsi="Arial Unicode MS" w:hint="eastAsia"/>
          <w:sz w:val="18"/>
        </w:rPr>
        <w:t>中華民國一百零八年五月二十八日行政院環境保護署環署廢字第</w:t>
      </w:r>
      <w:r w:rsidR="00682445" w:rsidRPr="00682445">
        <w:rPr>
          <w:rFonts w:ascii="Arial Unicode MS" w:hAnsi="Arial Unicode MS" w:hint="eastAsia"/>
          <w:sz w:val="18"/>
        </w:rPr>
        <w:t>1080037189</w:t>
      </w:r>
      <w:r w:rsidR="00682445" w:rsidRPr="00682445">
        <w:rPr>
          <w:rFonts w:ascii="Arial Unicode MS" w:hAnsi="Arial Unicode MS" w:hint="eastAsia"/>
          <w:sz w:val="18"/>
        </w:rPr>
        <w:t>號令訂定發布全文</w:t>
      </w:r>
      <w:r w:rsidR="00682445" w:rsidRPr="00682445">
        <w:rPr>
          <w:rFonts w:ascii="Arial Unicode MS" w:hAnsi="Arial Unicode MS" w:hint="eastAsia"/>
          <w:sz w:val="18"/>
        </w:rPr>
        <w:t>6</w:t>
      </w:r>
      <w:r w:rsidR="00682445" w:rsidRPr="00682445">
        <w:rPr>
          <w:rFonts w:ascii="Arial Unicode MS" w:hAnsi="Arial Unicode MS" w:hint="eastAsia"/>
          <w:sz w:val="18"/>
        </w:rPr>
        <w:t>條；並自發布日施行</w:t>
      </w:r>
    </w:p>
    <w:p w14:paraId="10E7001F" w14:textId="41068A9D" w:rsidR="008D6D17" w:rsidRPr="003D03F5" w:rsidRDefault="008D6D17" w:rsidP="00EC7AEC">
      <w:pPr>
        <w:ind w:firstLineChars="100" w:firstLine="180"/>
        <w:rPr>
          <w:rFonts w:ascii="Arial Unicode MS" w:hAnsi="Arial Unicode MS"/>
          <w:sz w:val="18"/>
        </w:rPr>
      </w:pPr>
      <w:r w:rsidRPr="003D03F5">
        <w:rPr>
          <w:rFonts w:ascii="Arial Unicode MS" w:hAnsi="Arial Unicode MS" w:hint="eastAsia"/>
          <w:b/>
          <w:sz w:val="18"/>
        </w:rPr>
        <w:t>2</w:t>
      </w:r>
      <w:r w:rsidRPr="003D03F5">
        <w:rPr>
          <w:rFonts w:ascii="Arial Unicode MS" w:hAnsi="Arial Unicode MS" w:hint="eastAsia"/>
          <w:b/>
          <w:sz w:val="18"/>
        </w:rPr>
        <w:t>‧</w:t>
      </w:r>
      <w:r w:rsidRPr="003D03F5">
        <w:rPr>
          <w:rFonts w:ascii="Arial Unicode MS" w:hAnsi="Arial Unicode MS" w:hint="eastAsia"/>
          <w:sz w:val="18"/>
        </w:rPr>
        <w:t>中華民國一百十年三月十八日行政院環境保護署環署廢字第</w:t>
      </w:r>
      <w:r w:rsidRPr="003D03F5">
        <w:rPr>
          <w:rFonts w:ascii="Arial Unicode MS" w:hAnsi="Arial Unicode MS" w:hint="eastAsia"/>
          <w:sz w:val="18"/>
        </w:rPr>
        <w:t>1101025610</w:t>
      </w:r>
      <w:r w:rsidRPr="003D03F5">
        <w:rPr>
          <w:rFonts w:ascii="Arial Unicode MS" w:hAnsi="Arial Unicode MS" w:hint="eastAsia"/>
          <w:sz w:val="18"/>
        </w:rPr>
        <w:t>號令修正發布</w:t>
      </w:r>
      <w:hyperlink w:anchor="a2" w:history="1">
        <w:r w:rsidRPr="003D03F5">
          <w:rPr>
            <w:rStyle w:val="a3"/>
            <w:rFonts w:ascii="Arial Unicode MS" w:hAnsi="Arial Unicode MS" w:hint="eastAsia"/>
            <w:sz w:val="18"/>
          </w:rPr>
          <w:t>第</w:t>
        </w:r>
        <w:r w:rsidRPr="003D03F5">
          <w:rPr>
            <w:rStyle w:val="a3"/>
            <w:rFonts w:ascii="Arial Unicode MS" w:hAnsi="Arial Unicode MS" w:hint="eastAsia"/>
            <w:sz w:val="18"/>
          </w:rPr>
          <w:t>2</w:t>
        </w:r>
        <w:r w:rsidRPr="003D03F5">
          <w:rPr>
            <w:rStyle w:val="a3"/>
            <w:rFonts w:ascii="Arial Unicode MS" w:hAnsi="Arial Unicode MS" w:hint="eastAsia"/>
            <w:sz w:val="18"/>
          </w:rPr>
          <w:t>條</w:t>
        </w:r>
      </w:hyperlink>
      <w:r w:rsidRPr="003D03F5">
        <w:rPr>
          <w:rFonts w:ascii="Arial Unicode MS" w:hAnsi="Arial Unicode MS" w:hint="eastAsia"/>
          <w:sz w:val="18"/>
        </w:rPr>
        <w:t>條文</w:t>
      </w:r>
    </w:p>
    <w:p w14:paraId="25E1A159" w14:textId="77777777" w:rsidR="00EC7AEC" w:rsidRPr="000509F5" w:rsidRDefault="00EC7AEC">
      <w:pPr>
        <w:ind w:firstLineChars="100" w:firstLine="200"/>
        <w:rPr>
          <w:rFonts w:ascii="Arial Unicode MS" w:hAnsi="Arial Unicode MS"/>
          <w:b/>
          <w:bCs/>
          <w:color w:val="800000"/>
        </w:rPr>
      </w:pPr>
    </w:p>
    <w:p w14:paraId="5BF798B7" w14:textId="77777777"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p>
    <w:p w14:paraId="44AA85F6" w14:textId="77777777" w:rsidR="00682445" w:rsidRDefault="00682445" w:rsidP="00682445">
      <w:pPr>
        <w:pStyle w:val="2"/>
      </w:pPr>
      <w:bookmarkStart w:id="1" w:name="a1"/>
      <w:bookmarkEnd w:id="1"/>
      <w:r>
        <w:t>第</w:t>
      </w:r>
      <w:r>
        <w:t>1</w:t>
      </w:r>
      <w:r>
        <w:t>條</w:t>
      </w:r>
    </w:p>
    <w:p w14:paraId="5CE21445" w14:textId="77777777" w:rsidR="00682445" w:rsidRDefault="00682445" w:rsidP="00682445">
      <w:pPr>
        <w:ind w:left="142"/>
      </w:pPr>
      <w:r>
        <w:t xml:space="preserve">　　本準則依廢棄物清理法（以下簡稱本法）第</w:t>
      </w:r>
      <w:hyperlink r:id="rId14" w:anchor="a63b1" w:history="1">
        <w:r w:rsidRPr="00C62A50">
          <w:rPr>
            <w:rStyle w:val="a3"/>
            <w:rFonts w:ascii="Times New Roman" w:hAnsi="Times New Roman"/>
          </w:rPr>
          <w:t>六十三條之一</w:t>
        </w:r>
      </w:hyperlink>
      <w:r>
        <w:t>第一項規定訂定之。</w:t>
      </w:r>
    </w:p>
    <w:p w14:paraId="6830761A" w14:textId="222DC460" w:rsidR="00682445" w:rsidRDefault="00682445" w:rsidP="00682445">
      <w:pPr>
        <w:pStyle w:val="2"/>
      </w:pPr>
      <w:bookmarkStart w:id="2" w:name="a2"/>
      <w:bookmarkEnd w:id="2"/>
      <w:r>
        <w:t>第</w:t>
      </w:r>
      <w:r>
        <w:t>2</w:t>
      </w:r>
      <w:r>
        <w:t>條</w:t>
      </w:r>
      <w:r w:rsidR="006E76C0" w:rsidRPr="00C01DF2">
        <w:rPr>
          <w:rFonts w:ascii="新細明體" w:hAnsi="新細明體" w:hint="eastAsia"/>
          <w:b w:val="0"/>
          <w:bCs w:val="0"/>
          <w:color w:val="FFFFFF" w:themeColor="background1"/>
        </w:rPr>
        <w:t>∵</w:t>
      </w:r>
    </w:p>
    <w:p w14:paraId="3FD06488" w14:textId="53366F05" w:rsidR="00586DC2" w:rsidRPr="0008323A" w:rsidRDefault="00586DC2" w:rsidP="00586DC2">
      <w:pPr>
        <w:ind w:left="142"/>
        <w:jc w:val="both"/>
        <w:rPr>
          <w:rFonts w:ascii="Arial Unicode MS" w:hAnsi="Arial Unicode MS"/>
        </w:rPr>
      </w:pPr>
      <w:r w:rsidRPr="0008323A">
        <w:rPr>
          <w:rFonts w:ascii="Arial Unicode MS" w:hAnsi="Arial Unicode MS" w:hint="eastAsia"/>
        </w:rPr>
        <w:t xml:space="preserve">　　違反本法規定者，罰鍰額度除依下列規定裁處外，依行政罰法</w:t>
      </w:r>
      <w:r>
        <w:t>第</w:t>
      </w:r>
      <w:hyperlink r:id="rId15" w:anchor="a18" w:history="1">
        <w:r w:rsidRPr="00C62A50">
          <w:rPr>
            <w:rStyle w:val="a3"/>
            <w:rFonts w:ascii="Times New Roman" w:hAnsi="Times New Roman"/>
          </w:rPr>
          <w:t>十八</w:t>
        </w:r>
      </w:hyperlink>
      <w:r>
        <w:t>條</w:t>
      </w:r>
      <w:r w:rsidRPr="0008323A">
        <w:rPr>
          <w:rFonts w:ascii="Arial Unicode MS" w:hAnsi="Arial Unicode MS" w:hint="eastAsia"/>
        </w:rPr>
        <w:t>第一項規定，應審酌違反本法義務行為應受責難程度、所生影響及因違反本法義務所得之利益，並得考量受處罰者之資力：</w:t>
      </w:r>
    </w:p>
    <w:p w14:paraId="38AD98C3" w14:textId="1BFF80F8" w:rsidR="00586DC2" w:rsidRPr="0008323A" w:rsidRDefault="00586DC2" w:rsidP="00586DC2">
      <w:pPr>
        <w:ind w:left="142"/>
        <w:jc w:val="both"/>
        <w:rPr>
          <w:rFonts w:ascii="Arial Unicode MS" w:hAnsi="Arial Unicode MS"/>
        </w:rPr>
      </w:pPr>
      <w:r w:rsidRPr="0008323A">
        <w:rPr>
          <w:rFonts w:ascii="Arial Unicode MS" w:hAnsi="Arial Unicode MS" w:hint="eastAsia"/>
        </w:rPr>
        <w:t xml:space="preserve">　　一、行為人違反本法義務規定之行為涉及一般廢棄物者，適</w:t>
      </w:r>
      <w:r>
        <w:t>用</w:t>
      </w:r>
      <w:hyperlink r:id="rId16" w:history="1">
        <w:r w:rsidRPr="00F37737">
          <w:rPr>
            <w:rStyle w:val="a3"/>
            <w:rFonts w:ascii="Times New Roman" w:hAnsi="Times New Roman"/>
          </w:rPr>
          <w:t>附表一</w:t>
        </w:r>
      </w:hyperlink>
      <w:r w:rsidRPr="0008323A">
        <w:rPr>
          <w:rFonts w:ascii="Arial Unicode MS" w:hAnsi="Arial Unicode MS" w:hint="eastAsia"/>
        </w:rPr>
        <w:t>。</w:t>
      </w:r>
    </w:p>
    <w:p w14:paraId="76CA4522" w14:textId="2632B2F5" w:rsidR="00586DC2" w:rsidRPr="0008323A" w:rsidRDefault="00586DC2" w:rsidP="00586DC2">
      <w:pPr>
        <w:ind w:left="142"/>
        <w:jc w:val="both"/>
        <w:rPr>
          <w:rFonts w:ascii="Arial Unicode MS" w:hAnsi="Arial Unicode MS"/>
        </w:rPr>
      </w:pPr>
      <w:r w:rsidRPr="0008323A">
        <w:rPr>
          <w:rFonts w:ascii="Arial Unicode MS" w:hAnsi="Arial Unicode MS" w:hint="eastAsia"/>
        </w:rPr>
        <w:t xml:space="preserve">　　二、行為人違反本法義務規定之行為涉及事業廢棄物者，適</w:t>
      </w:r>
      <w:r>
        <w:t>用</w:t>
      </w:r>
      <w:hyperlink r:id="rId17" w:history="1">
        <w:r w:rsidRPr="00F37737">
          <w:rPr>
            <w:rStyle w:val="a3"/>
            <w:rFonts w:ascii="Times New Roman" w:hAnsi="Times New Roman"/>
          </w:rPr>
          <w:t>附表二</w:t>
        </w:r>
      </w:hyperlink>
      <w:r w:rsidRPr="0008323A">
        <w:rPr>
          <w:rFonts w:ascii="Arial Unicode MS" w:hAnsi="Arial Unicode MS" w:hint="eastAsia"/>
        </w:rPr>
        <w:t>。</w:t>
      </w:r>
    </w:p>
    <w:p w14:paraId="48CB1074" w14:textId="2BEBF586" w:rsidR="00586DC2" w:rsidRPr="0008323A" w:rsidRDefault="00586DC2" w:rsidP="00586DC2">
      <w:pPr>
        <w:ind w:left="142"/>
        <w:jc w:val="both"/>
        <w:rPr>
          <w:rFonts w:ascii="Arial Unicode MS" w:hAnsi="Arial Unicode MS"/>
        </w:rPr>
      </w:pPr>
      <w:r w:rsidRPr="0008323A">
        <w:rPr>
          <w:rFonts w:ascii="Arial Unicode MS" w:hAnsi="Arial Unicode MS" w:hint="eastAsia"/>
        </w:rPr>
        <w:t xml:space="preserve">　　三、公民營廢棄物清除處理機構及廢棄物專業技術人員違反本法義務規定之行為，適</w:t>
      </w:r>
      <w:r>
        <w:t>用</w:t>
      </w:r>
      <w:hyperlink r:id="rId18" w:history="1">
        <w:r w:rsidRPr="00F37737">
          <w:rPr>
            <w:rStyle w:val="a3"/>
            <w:rFonts w:ascii="Times New Roman" w:hAnsi="Times New Roman"/>
          </w:rPr>
          <w:t>附表三</w:t>
        </w:r>
      </w:hyperlink>
      <w:r w:rsidRPr="0008323A">
        <w:rPr>
          <w:rFonts w:ascii="Arial Unicode MS" w:hAnsi="Arial Unicode MS" w:hint="eastAsia"/>
        </w:rPr>
        <w:t>。</w:t>
      </w:r>
    </w:p>
    <w:p w14:paraId="31430995" w14:textId="572A09DC" w:rsidR="00586DC2" w:rsidRPr="0008323A" w:rsidRDefault="00586DC2" w:rsidP="00586DC2">
      <w:pPr>
        <w:ind w:left="142"/>
        <w:jc w:val="both"/>
        <w:rPr>
          <w:rFonts w:ascii="Arial Unicode MS" w:hAnsi="Arial Unicode MS"/>
        </w:rPr>
      </w:pPr>
      <w:r w:rsidRPr="0008323A">
        <w:rPr>
          <w:rFonts w:ascii="Arial Unicode MS" w:hAnsi="Arial Unicode MS" w:hint="eastAsia"/>
        </w:rPr>
        <w:t xml:space="preserve">　　四、其他之行為人違反本法義務規定之行為，適</w:t>
      </w:r>
      <w:r>
        <w:t>用</w:t>
      </w:r>
      <w:hyperlink r:id="rId19" w:history="1">
        <w:r w:rsidRPr="00F37737">
          <w:rPr>
            <w:rStyle w:val="a3"/>
            <w:rFonts w:ascii="Times New Roman" w:hAnsi="Times New Roman"/>
          </w:rPr>
          <w:t>附表四</w:t>
        </w:r>
      </w:hyperlink>
      <w:r w:rsidRPr="0008323A">
        <w:rPr>
          <w:rFonts w:ascii="Arial Unicode MS" w:hAnsi="Arial Unicode MS" w:hint="eastAsia"/>
        </w:rPr>
        <w:t>。</w:t>
      </w:r>
    </w:p>
    <w:p w14:paraId="73D371FE" w14:textId="2DF8F297" w:rsidR="00586DC2" w:rsidRPr="00586DC2" w:rsidRDefault="00586DC2" w:rsidP="00586DC2">
      <w:pPr>
        <w:ind w:left="142"/>
        <w:jc w:val="both"/>
        <w:rPr>
          <w:rFonts w:ascii="Arial Unicode MS" w:hAnsi="Arial Unicode MS"/>
          <w:color w:val="17365D"/>
        </w:rPr>
      </w:pPr>
      <w:r w:rsidRPr="00586DC2">
        <w:rPr>
          <w:rFonts w:ascii="Arial Unicode MS" w:hAnsi="Arial Unicode MS" w:hint="eastAsia"/>
          <w:color w:val="17365D"/>
        </w:rPr>
        <w:t xml:space="preserve">　　裁處機關審酌有必要考量受處罰者之資力時，於前項第二款行為人屬上市或上櫃事業者，就其依</w:t>
      </w:r>
      <w:hyperlink r:id="rId20" w:history="1">
        <w:r w:rsidRPr="00F37737">
          <w:rPr>
            <w:rStyle w:val="a3"/>
            <w:rFonts w:ascii="Times New Roman" w:hAnsi="Times New Roman"/>
          </w:rPr>
          <w:t>附表二</w:t>
        </w:r>
      </w:hyperlink>
      <w:r w:rsidRPr="00586DC2">
        <w:rPr>
          <w:rFonts w:ascii="Arial Unicode MS" w:hAnsi="Arial Unicode MS" w:hint="eastAsia"/>
          <w:color w:val="17365D"/>
        </w:rPr>
        <w:t>計算出之罰鍰額度，得加重處罰十倍至二十倍，其罰鍰總額除有第四條規定之情形外，不得超過法定罰鍰最高額。</w:t>
      </w:r>
    </w:p>
    <w:p w14:paraId="1CC5983F" w14:textId="7D659A47" w:rsidR="00586DC2" w:rsidRPr="00586DC2" w:rsidRDefault="00B92023" w:rsidP="00B92023">
      <w:pPr>
        <w:pStyle w:val="3"/>
      </w:pPr>
      <w:r w:rsidRPr="00A22F73">
        <w:rPr>
          <w:rFonts w:hint="eastAsia"/>
        </w:rPr>
        <w:t>--1</w:t>
      </w:r>
      <w:r>
        <w:t>10</w:t>
      </w:r>
      <w:r w:rsidRPr="00A22F73">
        <w:rPr>
          <w:rFonts w:hint="eastAsia"/>
        </w:rPr>
        <w:t>年</w:t>
      </w:r>
      <w:r>
        <w:rPr>
          <w:rFonts w:hint="eastAsia"/>
        </w:rPr>
        <w:t>3</w:t>
      </w:r>
      <w:r w:rsidRPr="00A22F73">
        <w:rPr>
          <w:rFonts w:hint="eastAsia"/>
        </w:rPr>
        <w:t>月</w:t>
      </w:r>
      <w:r>
        <w:t>1</w:t>
      </w:r>
      <w:r>
        <w:t>8</w:t>
      </w:r>
      <w:r w:rsidRPr="00A22F73">
        <w:rPr>
          <w:rFonts w:hint="eastAsia"/>
        </w:rPr>
        <w:t>日修正前條文</w:t>
      </w:r>
      <w:r w:rsidRPr="00A22F73">
        <w:rPr>
          <w:rFonts w:hint="eastAsia"/>
        </w:rPr>
        <w:t>--</w:t>
      </w:r>
      <w:hyperlink r:id="rId21" w:history="1">
        <w:r w:rsidRPr="00A22F73">
          <w:rPr>
            <w:rStyle w:val="a3"/>
          </w:rPr>
          <w:t>比對程式</w:t>
        </w:r>
      </w:hyperlink>
    </w:p>
    <w:p w14:paraId="262FB7E3" w14:textId="636E7529" w:rsidR="00682445" w:rsidRPr="00D3020C" w:rsidRDefault="00682445" w:rsidP="00682445">
      <w:pPr>
        <w:ind w:left="142"/>
        <w:rPr>
          <w:color w:val="5F5F5F"/>
        </w:rPr>
      </w:pPr>
      <w:r w:rsidRPr="00D3020C">
        <w:rPr>
          <w:color w:val="5F5F5F"/>
        </w:rPr>
        <w:t xml:space="preserve">　　違反本法規定者，罰鍰額度除依下列規定裁處外，依行政罰法第</w:t>
      </w:r>
      <w:hyperlink r:id="rId22" w:anchor="a18" w:history="1">
        <w:r w:rsidRPr="00D3020C">
          <w:rPr>
            <w:rStyle w:val="a3"/>
            <w:rFonts w:ascii="Times New Roman" w:hAnsi="Times New Roman"/>
            <w:color w:val="5F5F5F"/>
          </w:rPr>
          <w:t>十八</w:t>
        </w:r>
      </w:hyperlink>
      <w:r w:rsidRPr="00D3020C">
        <w:rPr>
          <w:color w:val="5F5F5F"/>
        </w:rPr>
        <w:t>條第一項規定，應審酌違反本法義務行為應受責難程度、所生影響及因違反本法義務所得之利益，並得考量受處罰者之資力：</w:t>
      </w:r>
    </w:p>
    <w:p w14:paraId="0FAE3D49" w14:textId="3983455E" w:rsidR="00682445" w:rsidRPr="00D3020C" w:rsidRDefault="00682445" w:rsidP="00682445">
      <w:pPr>
        <w:ind w:left="142"/>
        <w:rPr>
          <w:color w:val="5F5F5F"/>
        </w:rPr>
      </w:pPr>
      <w:r w:rsidRPr="00D3020C">
        <w:rPr>
          <w:color w:val="5F5F5F"/>
        </w:rPr>
        <w:t xml:space="preserve">　　一、行為人違反本法義務規定之行為涉及一般廢棄物者，適用附表一。</w:t>
      </w:r>
    </w:p>
    <w:p w14:paraId="2A71C761" w14:textId="714BBCBD" w:rsidR="00682445" w:rsidRPr="00D3020C" w:rsidRDefault="00682445" w:rsidP="00682445">
      <w:pPr>
        <w:ind w:left="142"/>
        <w:rPr>
          <w:color w:val="5F5F5F"/>
        </w:rPr>
      </w:pPr>
      <w:r w:rsidRPr="00D3020C">
        <w:rPr>
          <w:color w:val="5F5F5F"/>
        </w:rPr>
        <w:t xml:space="preserve">　　二、行為人違反本法義務規定之行為涉及事業廢棄物者，適用附表二。</w:t>
      </w:r>
    </w:p>
    <w:p w14:paraId="69FA8E01" w14:textId="2FF4AF7A" w:rsidR="00682445" w:rsidRPr="00D3020C" w:rsidRDefault="00682445" w:rsidP="00682445">
      <w:pPr>
        <w:ind w:left="142"/>
        <w:rPr>
          <w:color w:val="5F5F5F"/>
        </w:rPr>
      </w:pPr>
      <w:r w:rsidRPr="00D3020C">
        <w:rPr>
          <w:color w:val="5F5F5F"/>
        </w:rPr>
        <w:t xml:space="preserve">　　三、公民營廢棄物清除處理機構及廢棄物專業技術人員違反本法義務規定之行為，適用附表三。</w:t>
      </w:r>
    </w:p>
    <w:p w14:paraId="4C26BE4A" w14:textId="2E00FDEF" w:rsidR="00682445" w:rsidRPr="003D03F5" w:rsidRDefault="00682445" w:rsidP="00682445">
      <w:pPr>
        <w:ind w:left="142"/>
        <w:rPr>
          <w:color w:val="5F5F5F"/>
        </w:rPr>
      </w:pPr>
      <w:r w:rsidRPr="00D3020C">
        <w:rPr>
          <w:color w:val="5F5F5F"/>
        </w:rPr>
        <w:t xml:space="preserve">　　四、其他之行為人違反本法義務規定之行為，適用附表四。</w:t>
      </w:r>
      <w:r w:rsidR="003D03F5" w:rsidRPr="003D03F5">
        <w:rPr>
          <w:rFonts w:ascii="新細明體" w:hAnsi="新細明體" w:hint="eastAsia"/>
          <w:color w:val="FFFFFF" w:themeColor="background1"/>
        </w:rPr>
        <w:t>∴</w:t>
      </w:r>
    </w:p>
    <w:p w14:paraId="055EF561" w14:textId="77777777" w:rsidR="00682445" w:rsidRDefault="00682445" w:rsidP="00682445">
      <w:pPr>
        <w:pStyle w:val="2"/>
      </w:pPr>
      <w:bookmarkStart w:id="3" w:name="a3"/>
      <w:bookmarkEnd w:id="3"/>
      <w:r>
        <w:t>第</w:t>
      </w:r>
      <w:r>
        <w:t>3</w:t>
      </w:r>
      <w:r>
        <w:t>條</w:t>
      </w:r>
    </w:p>
    <w:p w14:paraId="26F82B35" w14:textId="77777777" w:rsidR="00682445" w:rsidRDefault="00682445" w:rsidP="00682445">
      <w:pPr>
        <w:ind w:left="142"/>
      </w:pPr>
      <w:r>
        <w:t xml:space="preserve">　　一行為違反本法數個規定，應依法定罰鍰額度最高之規定裁處之。但其法定罰鍰最高及最低額度均相同者，應先依前條規定分別計算罰鍰額度，再依罰鍰額度最高者裁處之。</w:t>
      </w:r>
    </w:p>
    <w:p w14:paraId="199E6719" w14:textId="77777777" w:rsidR="00682445" w:rsidRPr="00682445" w:rsidRDefault="00682445" w:rsidP="00682445">
      <w:pPr>
        <w:ind w:left="142"/>
        <w:rPr>
          <w:color w:val="17365D"/>
        </w:rPr>
      </w:pPr>
      <w:r w:rsidRPr="00682445">
        <w:rPr>
          <w:color w:val="17365D"/>
        </w:rPr>
        <w:t xml:space="preserve">　　裁處機關應於確定違規行為據以裁處之條文後，依前條規定裁處之。</w:t>
      </w:r>
    </w:p>
    <w:p w14:paraId="6CE5F190" w14:textId="77777777" w:rsidR="00682445" w:rsidRDefault="00682445" w:rsidP="00682445">
      <w:pPr>
        <w:pStyle w:val="2"/>
      </w:pPr>
      <w:bookmarkStart w:id="4" w:name="a4"/>
      <w:bookmarkEnd w:id="4"/>
      <w:r>
        <w:t>第</w:t>
      </w:r>
      <w:r>
        <w:t>4</w:t>
      </w:r>
      <w:r>
        <w:t>條</w:t>
      </w:r>
    </w:p>
    <w:p w14:paraId="4C710617" w14:textId="77777777" w:rsidR="00682445" w:rsidRDefault="00682445" w:rsidP="00682445">
      <w:pPr>
        <w:ind w:left="142"/>
      </w:pPr>
      <w:r>
        <w:t xml:space="preserve">　　依</w:t>
      </w:r>
      <w:hyperlink w:anchor="a2" w:history="1">
        <w:r w:rsidRPr="00F37737">
          <w:rPr>
            <w:rStyle w:val="a3"/>
            <w:rFonts w:ascii="Times New Roman" w:hAnsi="Times New Roman"/>
          </w:rPr>
          <w:t>第二條</w:t>
        </w:r>
      </w:hyperlink>
      <w:r>
        <w:t>附表一至附表四裁處罰鍰，行為人違法所得之利益超過法定罰鍰最高額者，裁處機關得依</w:t>
      </w:r>
      <w:hyperlink r:id="rId23" w:history="1">
        <w:r w:rsidRPr="001413CF">
          <w:rPr>
            <w:rStyle w:val="a3"/>
            <w:rFonts w:ascii="Times New Roman" w:hAnsi="Times New Roman"/>
          </w:rPr>
          <w:t>違反廢棄物清理法所得利益認定及核算辦法</w:t>
        </w:r>
      </w:hyperlink>
      <w:r>
        <w:t>規定，於所得利益之範圍內酌量加重裁處，不受法定罰鍰最高額之限制。</w:t>
      </w:r>
    </w:p>
    <w:p w14:paraId="27038609" w14:textId="77777777" w:rsidR="00682445" w:rsidRDefault="00682445" w:rsidP="00682445">
      <w:pPr>
        <w:pStyle w:val="2"/>
      </w:pPr>
      <w:bookmarkStart w:id="5" w:name="a5"/>
      <w:bookmarkEnd w:id="5"/>
      <w:r>
        <w:lastRenderedPageBreak/>
        <w:t>第</w:t>
      </w:r>
      <w:r>
        <w:t>5</w:t>
      </w:r>
      <w:r>
        <w:t>條</w:t>
      </w:r>
    </w:p>
    <w:p w14:paraId="4D39CD67" w14:textId="77777777" w:rsidR="00682445" w:rsidRDefault="00682445" w:rsidP="00682445">
      <w:pPr>
        <w:ind w:left="142"/>
      </w:pPr>
      <w:r>
        <w:t xml:space="preserve">　　屬本法第</w:t>
      </w:r>
      <w:hyperlink r:id="rId24" w:anchor="a60" w:history="1">
        <w:r w:rsidRPr="00C62A50">
          <w:rPr>
            <w:rStyle w:val="a3"/>
            <w:rFonts w:ascii="Times New Roman" w:hAnsi="Times New Roman"/>
          </w:rPr>
          <w:t>六十</w:t>
        </w:r>
      </w:hyperlink>
      <w:r>
        <w:t>條各款規定情節重大情形之一者，得以各該條最高罰鍰額度裁處之。</w:t>
      </w:r>
    </w:p>
    <w:p w14:paraId="3D89C2DB" w14:textId="77777777" w:rsidR="00682445" w:rsidRPr="00682445" w:rsidRDefault="00682445" w:rsidP="00682445">
      <w:pPr>
        <w:pStyle w:val="2"/>
      </w:pPr>
      <w:bookmarkStart w:id="6" w:name="a6"/>
      <w:bookmarkEnd w:id="6"/>
      <w:r w:rsidRPr="00682445">
        <w:t>第</w:t>
      </w:r>
      <w:r w:rsidRPr="00682445">
        <w:t>6</w:t>
      </w:r>
      <w:r w:rsidRPr="00682445">
        <w:t>條</w:t>
      </w:r>
    </w:p>
    <w:p w14:paraId="69052E9D" w14:textId="77777777" w:rsidR="00682445" w:rsidRDefault="00682445" w:rsidP="00682445">
      <w:pPr>
        <w:ind w:left="142"/>
      </w:pPr>
      <w:r>
        <w:t xml:space="preserve">　　本準則自發布日施行。</w:t>
      </w:r>
    </w:p>
    <w:p w14:paraId="06DA1BD3" w14:textId="77777777" w:rsidR="00DE6B3B" w:rsidRPr="001C7001" w:rsidRDefault="00DE6B3B" w:rsidP="00DE6B3B">
      <w:pPr>
        <w:ind w:leftChars="75" w:left="150"/>
        <w:jc w:val="both"/>
        <w:rPr>
          <w:rFonts w:ascii="Arial Unicode MS" w:hAnsi="Arial Unicode MS"/>
        </w:rPr>
      </w:pPr>
    </w:p>
    <w:p w14:paraId="786A1882" w14:textId="77777777" w:rsidR="00EC7AEC" w:rsidRPr="001C7001" w:rsidRDefault="00EC7AEC" w:rsidP="00DE6B3B">
      <w:pPr>
        <w:ind w:leftChars="75" w:left="150"/>
        <w:jc w:val="both"/>
        <w:rPr>
          <w:rFonts w:ascii="Arial Unicode MS" w:hAnsi="Arial Unicode MS"/>
        </w:rPr>
      </w:pPr>
    </w:p>
    <w:p w14:paraId="193B2F89" w14:textId="77777777" w:rsidR="00F94247" w:rsidRPr="00C1655B" w:rsidRDefault="00F94247" w:rsidP="00F94247">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E9B5B70" w14:textId="269708A4" w:rsidR="0045425A" w:rsidRDefault="00F94247" w:rsidP="00682445">
      <w:pPr>
        <w:ind w:leftChars="71" w:left="142"/>
        <w:jc w:val="both"/>
        <w:rPr>
          <w:rFonts w:ascii="Arial Unicode MS" w:hAnsi="Arial Unicode MS"/>
          <w:color w:val="666699"/>
        </w:rPr>
      </w:pPr>
      <w:r w:rsidRPr="003D460F">
        <w:rPr>
          <w:rFonts w:hint="eastAsia"/>
          <w:color w:val="5F5F5F"/>
          <w:sz w:val="18"/>
          <w:szCs w:val="18"/>
        </w:rPr>
        <w:t>【編註】</w:t>
      </w:r>
      <w:r w:rsidR="006E0A6B">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5"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5425A">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6E7B7C" w14:textId="77777777" w:rsidR="001465C1" w:rsidRDefault="001465C1">
      <w:r>
        <w:separator/>
      </w:r>
    </w:p>
  </w:endnote>
  <w:endnote w:type="continuationSeparator" w:id="0">
    <w:p w14:paraId="343636BB" w14:textId="77777777" w:rsidR="001465C1" w:rsidRDefault="0014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6AD17"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83B463D"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78D5D"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5186EB2C" w14:textId="77777777"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682445" w:rsidRPr="00682445">
      <w:rPr>
        <w:rFonts w:ascii="Arial Unicode MS" w:hAnsi="Arial Unicode MS" w:hint="eastAsia"/>
        <w:sz w:val="18"/>
      </w:rPr>
      <w:t>違反廢棄物清理法罰鍰額度裁罰準則</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7CA1D" w14:textId="77777777" w:rsidR="001465C1" w:rsidRDefault="001465C1">
      <w:r>
        <w:separator/>
      </w:r>
    </w:p>
  </w:footnote>
  <w:footnote w:type="continuationSeparator" w:id="0">
    <w:p w14:paraId="371F2958" w14:textId="77777777" w:rsidR="001465C1" w:rsidRDefault="00146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34A03"/>
    <w:rsid w:val="00041D68"/>
    <w:rsid w:val="000509F5"/>
    <w:rsid w:val="00053EB3"/>
    <w:rsid w:val="00075E1C"/>
    <w:rsid w:val="0009406C"/>
    <w:rsid w:val="000A5999"/>
    <w:rsid w:val="000C78B7"/>
    <w:rsid w:val="000E00FA"/>
    <w:rsid w:val="00104FBB"/>
    <w:rsid w:val="001413CF"/>
    <w:rsid w:val="001465C1"/>
    <w:rsid w:val="001605C6"/>
    <w:rsid w:val="0016624A"/>
    <w:rsid w:val="00187602"/>
    <w:rsid w:val="001A426A"/>
    <w:rsid w:val="001C7001"/>
    <w:rsid w:val="001D50AD"/>
    <w:rsid w:val="001E23A9"/>
    <w:rsid w:val="00206429"/>
    <w:rsid w:val="00254FCB"/>
    <w:rsid w:val="00277BB9"/>
    <w:rsid w:val="002844B5"/>
    <w:rsid w:val="0028452A"/>
    <w:rsid w:val="002A6178"/>
    <w:rsid w:val="00306BFD"/>
    <w:rsid w:val="00372655"/>
    <w:rsid w:val="00376F50"/>
    <w:rsid w:val="003A1CEA"/>
    <w:rsid w:val="003A7CC8"/>
    <w:rsid w:val="003D03F5"/>
    <w:rsid w:val="00451727"/>
    <w:rsid w:val="0045425A"/>
    <w:rsid w:val="00464EE7"/>
    <w:rsid w:val="004A6E50"/>
    <w:rsid w:val="004B0859"/>
    <w:rsid w:val="004D0FA1"/>
    <w:rsid w:val="004E06CA"/>
    <w:rsid w:val="004E2FEA"/>
    <w:rsid w:val="004E6452"/>
    <w:rsid w:val="004F7BAA"/>
    <w:rsid w:val="00520F8A"/>
    <w:rsid w:val="0056107E"/>
    <w:rsid w:val="00586DC2"/>
    <w:rsid w:val="005C483E"/>
    <w:rsid w:val="005D2C95"/>
    <w:rsid w:val="005D6F38"/>
    <w:rsid w:val="005E0DDB"/>
    <w:rsid w:val="005E12A5"/>
    <w:rsid w:val="00613FB8"/>
    <w:rsid w:val="00616222"/>
    <w:rsid w:val="006312B1"/>
    <w:rsid w:val="00654586"/>
    <w:rsid w:val="0067282D"/>
    <w:rsid w:val="00682445"/>
    <w:rsid w:val="006B77DD"/>
    <w:rsid w:val="006C53DB"/>
    <w:rsid w:val="006E0A6B"/>
    <w:rsid w:val="006E4464"/>
    <w:rsid w:val="006E6E00"/>
    <w:rsid w:val="006E76C0"/>
    <w:rsid w:val="006E7FE9"/>
    <w:rsid w:val="00706D8F"/>
    <w:rsid w:val="00712B5C"/>
    <w:rsid w:val="0072241A"/>
    <w:rsid w:val="00732E57"/>
    <w:rsid w:val="00765234"/>
    <w:rsid w:val="007A2583"/>
    <w:rsid w:val="007B59EF"/>
    <w:rsid w:val="007D1CB6"/>
    <w:rsid w:val="007D5904"/>
    <w:rsid w:val="007F4C46"/>
    <w:rsid w:val="008013F3"/>
    <w:rsid w:val="008117F1"/>
    <w:rsid w:val="00816028"/>
    <w:rsid w:val="00831AE4"/>
    <w:rsid w:val="00857E9D"/>
    <w:rsid w:val="00894B45"/>
    <w:rsid w:val="008B621F"/>
    <w:rsid w:val="008D5AFA"/>
    <w:rsid w:val="008D6D17"/>
    <w:rsid w:val="00900A10"/>
    <w:rsid w:val="00907274"/>
    <w:rsid w:val="00921698"/>
    <w:rsid w:val="00967AED"/>
    <w:rsid w:val="00972FA0"/>
    <w:rsid w:val="009B0ABB"/>
    <w:rsid w:val="009E216E"/>
    <w:rsid w:val="00A05A00"/>
    <w:rsid w:val="00A6506B"/>
    <w:rsid w:val="00A879A3"/>
    <w:rsid w:val="00AB72F0"/>
    <w:rsid w:val="00AE1199"/>
    <w:rsid w:val="00B045DE"/>
    <w:rsid w:val="00B14DE7"/>
    <w:rsid w:val="00B20896"/>
    <w:rsid w:val="00B92023"/>
    <w:rsid w:val="00BB5F81"/>
    <w:rsid w:val="00BD34CC"/>
    <w:rsid w:val="00BF4907"/>
    <w:rsid w:val="00BF5191"/>
    <w:rsid w:val="00C10BFF"/>
    <w:rsid w:val="00C348DE"/>
    <w:rsid w:val="00C62A50"/>
    <w:rsid w:val="00C66087"/>
    <w:rsid w:val="00C669C9"/>
    <w:rsid w:val="00D07FFC"/>
    <w:rsid w:val="00D26DE0"/>
    <w:rsid w:val="00D3020C"/>
    <w:rsid w:val="00D73296"/>
    <w:rsid w:val="00DB0DB0"/>
    <w:rsid w:val="00DE0D1B"/>
    <w:rsid w:val="00DE2606"/>
    <w:rsid w:val="00DE5DA3"/>
    <w:rsid w:val="00DE6B3B"/>
    <w:rsid w:val="00E205E8"/>
    <w:rsid w:val="00E24D45"/>
    <w:rsid w:val="00EB27D6"/>
    <w:rsid w:val="00EC6E54"/>
    <w:rsid w:val="00EC7AEC"/>
    <w:rsid w:val="00EE484E"/>
    <w:rsid w:val="00EF3193"/>
    <w:rsid w:val="00F203C4"/>
    <w:rsid w:val="00F37737"/>
    <w:rsid w:val="00F94247"/>
    <w:rsid w:val="00FF07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F480D5"/>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68244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682445"/>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C62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205765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36949;&#21453;&#24290;&#26820;&#29289;&#28165;&#29702;&#27861;&#32624;&#37744;&#38989;&#24230;&#35009;&#32624;&#28310;&#21063;.htm" TargetMode="External"/><Relationship Id="rId18" Type="http://schemas.openxmlformats.org/officeDocument/2006/relationships/hyperlink" Target="../law2/&#36949;&#21453;&#24290;&#26820;&#29289;&#28165;&#29702;&#27861;&#32624;&#37744;&#38989;&#24230;&#35009;&#32624;&#28310;&#21063;&#38468;&#34920;&#19977;.pdf"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diff/index.html" TargetMode="External"/><Relationship Id="rId7" Type="http://schemas.openxmlformats.org/officeDocument/2006/relationships/image" Target="media/image1.png"/><Relationship Id="rId12" Type="http://schemas.openxmlformats.org/officeDocument/2006/relationships/hyperlink" Target="../S-link&#20998;&#39006;&#27861;&#35215;&#32034;&#24341;02.docx" TargetMode="External"/><Relationship Id="rId17" Type="http://schemas.openxmlformats.org/officeDocument/2006/relationships/hyperlink" Target="../law2/&#36949;&#21453;&#24290;&#26820;&#29289;&#28165;&#29702;&#27861;&#32624;&#37744;&#38989;&#24230;&#35009;&#32624;&#28310;&#21063;&#38468;&#34920;&#20108;.PDF" TargetMode="External"/><Relationship Id="rId25" Type="http://schemas.openxmlformats.org/officeDocument/2006/relationships/hyperlink" Target="https://www.6laws.net/comment.htm" TargetMode="External"/><Relationship Id="rId2" Type="http://schemas.openxmlformats.org/officeDocument/2006/relationships/settings" Target="settings.xml"/><Relationship Id="rId16" Type="http://schemas.openxmlformats.org/officeDocument/2006/relationships/hyperlink" Target="../law2/&#36949;&#21453;&#24290;&#26820;&#29289;&#28165;&#29702;&#27861;&#32624;&#37744;&#38989;&#24230;&#35009;&#32624;&#28310;&#21063;&#38468;&#34920;&#19968;.PDF" TargetMode="External"/><Relationship Id="rId20" Type="http://schemas.openxmlformats.org/officeDocument/2006/relationships/hyperlink" Target="../law2/&#36949;&#21453;&#24290;&#26820;&#29289;&#28165;&#29702;&#27861;&#32624;&#37744;&#38989;&#24230;&#35009;&#32624;&#28310;&#21063;&#38468;&#34920;&#20108;.PDF"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epa.gov.tw/" TargetMode="External"/><Relationship Id="rId24" Type="http://schemas.openxmlformats.org/officeDocument/2006/relationships/hyperlink" Target="../law/&#24290;&#26820;&#29289;&#28165;&#29702;&#27861;.docx" TargetMode="External"/><Relationship Id="rId5" Type="http://schemas.openxmlformats.org/officeDocument/2006/relationships/endnotes" Target="endnotes.xml"/><Relationship Id="rId15" Type="http://schemas.openxmlformats.org/officeDocument/2006/relationships/hyperlink" Target="../law/&#34892;&#25919;&#32624;&#27861;.docx" TargetMode="External"/><Relationship Id="rId23" Type="http://schemas.openxmlformats.org/officeDocument/2006/relationships/hyperlink" Target="&#36949;&#21453;&#24290;&#26820;&#29289;&#28165;&#29702;&#27861;&#25152;&#24471;&#21033;&#30410;&#35469;&#23450;&#21450;&#26680;&#31639;&#36774;&#27861;.docx" TargetMode="External"/><Relationship Id="rId28" Type="http://schemas.openxmlformats.org/officeDocument/2006/relationships/fontTable" Target="fontTable.xml"/><Relationship Id="rId10" Type="http://schemas.openxmlformats.org/officeDocument/2006/relationships/hyperlink" Target="https://www.facebook.com/anita6law" TargetMode="External"/><Relationship Id="rId19" Type="http://schemas.openxmlformats.org/officeDocument/2006/relationships/hyperlink" Target="../law2/&#36949;&#21453;&#24290;&#26820;&#29289;&#28165;&#29702;&#27861;&#32624;&#37744;&#38989;&#24230;&#35009;&#32624;&#28310;&#21063;&#38468;&#34920;&#22235;.pdf" TargetMode="External"/><Relationship Id="rId4" Type="http://schemas.openxmlformats.org/officeDocument/2006/relationships/footnotes" Target="footnotes.xml"/><Relationship Id="rId9" Type="http://schemas.openxmlformats.org/officeDocument/2006/relationships/hyperlink" Target="https://law.moj.gov.tw/LawClass/LawHistory.aspx?pcode=O0050090" TargetMode="External"/><Relationship Id="rId14" Type="http://schemas.openxmlformats.org/officeDocument/2006/relationships/hyperlink" Target="../law/&#24290;&#26820;&#29289;&#28165;&#29702;&#27861;.docx" TargetMode="External"/><Relationship Id="rId22" Type="http://schemas.openxmlformats.org/officeDocument/2006/relationships/hyperlink" Target="../law/&#34892;&#25919;&#32624;&#27861;.docx"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違反廢棄物清理法罰鍰額度裁罰準則</dc:title>
  <dc:creator>S-link 電子六法-黃婉玲</dc:creator>
  <cp:lastModifiedBy>黃婉玲 S-link電子六法</cp:lastModifiedBy>
  <cp:revision>18</cp:revision>
  <dcterms:created xsi:type="dcterms:W3CDTF">2019-06-09T12:06:00Z</dcterms:created>
  <dcterms:modified xsi:type="dcterms:W3CDTF">2021-03-29T14:03:00Z</dcterms:modified>
</cp:coreProperties>
</file>