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E7BAF" w14:textId="3CD15041" w:rsidR="00464EE7" w:rsidRDefault="00247912" w:rsidP="00C564DD">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60FE4D54" wp14:editId="6A8C22DA">
            <wp:extent cx="415925" cy="415925"/>
            <wp:effectExtent l="0" t="0" r="3175" b="3175"/>
            <wp:docPr id="3" name="圖片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F3BCED9" w14:textId="5A1DD865"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394716" w:rsidRPr="00394716">
        <w:rPr>
          <w:sz w:val="18"/>
        </w:rPr>
        <w:t>2024/8/30</w:t>
      </w:r>
      <w:r>
        <w:rPr>
          <w:rFonts w:hint="eastAsia"/>
          <w:color w:val="7F7F7F"/>
          <w:sz w:val="18"/>
          <w:szCs w:val="20"/>
          <w:lang w:val="zh-TW"/>
        </w:rPr>
        <w:t>【</w:t>
      </w:r>
      <w:hyperlink r:id="rId9" w:history="1">
        <w:r w:rsidRPr="00C04E70">
          <w:rPr>
            <w:rStyle w:val="a3"/>
            <w:rFonts w:ascii="Times New Roman" w:hAnsi="Times New Roman" w:hint="eastAsia"/>
            <w:color w:val="5F5F5F"/>
            <w:sz w:val="18"/>
            <w:szCs w:val="20"/>
            <w:u w:val="none"/>
          </w:rPr>
          <w:t>編輯著</w:t>
        </w:r>
        <w:r w:rsidRPr="00C04E70">
          <w:rPr>
            <w:rStyle w:val="a3"/>
            <w:rFonts w:ascii="Times New Roman" w:hAnsi="Times New Roman" w:hint="eastAsia"/>
            <w:color w:val="5F5F5F"/>
            <w:sz w:val="18"/>
            <w:szCs w:val="20"/>
            <w:u w:val="none"/>
          </w:rPr>
          <w:t>作</w:t>
        </w:r>
        <w:r w:rsidRPr="00C04E70">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47B58CA" w14:textId="6615FAAA" w:rsidR="0045425A" w:rsidRPr="00B03D5C" w:rsidRDefault="00EB27D6" w:rsidP="00C564DD">
      <w:pPr>
        <w:ind w:rightChars="-110" w:right="-220" w:firstLineChars="2880" w:firstLine="5184"/>
        <w:jc w:val="right"/>
        <w:rPr>
          <w:rFonts w:ascii="Arial Unicode MS" w:hAnsi="Arial Unicode MS"/>
          <w:color w:val="5F5F5F"/>
          <w:u w:val="single"/>
        </w:rPr>
      </w:pPr>
      <w:r w:rsidRPr="00B03D5C">
        <w:rPr>
          <w:rFonts w:hint="eastAsia"/>
          <w:color w:val="5F5F5F"/>
          <w:sz w:val="18"/>
          <w:szCs w:val="20"/>
        </w:rPr>
        <w:t>（建議使用工具列</w:t>
      </w:r>
      <w:r w:rsidRPr="00B03D5C">
        <w:rPr>
          <w:rFonts w:hint="eastAsia"/>
          <w:color w:val="5F5F5F"/>
          <w:sz w:val="18"/>
          <w:szCs w:val="20"/>
        </w:rPr>
        <w:t>--</w:t>
      </w:r>
      <w:r w:rsidR="00247912" w:rsidRPr="00B03D5C">
        <w:rPr>
          <w:rFonts w:hint="eastAsia"/>
          <w:color w:val="5F5F5F"/>
          <w:sz w:val="18"/>
          <w:szCs w:val="20"/>
        </w:rPr>
        <w:t>〉</w:t>
      </w:r>
      <w:r w:rsidRPr="00B03D5C">
        <w:rPr>
          <w:rFonts w:hint="eastAsia"/>
          <w:color w:val="5F5F5F"/>
          <w:sz w:val="18"/>
          <w:szCs w:val="20"/>
        </w:rPr>
        <w:t>檢視</w:t>
      </w:r>
      <w:r w:rsidRPr="00B03D5C">
        <w:rPr>
          <w:rFonts w:hint="eastAsia"/>
          <w:color w:val="5F5F5F"/>
          <w:sz w:val="18"/>
          <w:szCs w:val="20"/>
        </w:rPr>
        <w:t>--</w:t>
      </w:r>
      <w:r w:rsidR="00247912" w:rsidRPr="00B03D5C">
        <w:rPr>
          <w:rFonts w:hint="eastAsia"/>
          <w:color w:val="5F5F5F"/>
          <w:sz w:val="18"/>
          <w:szCs w:val="20"/>
        </w:rPr>
        <w:t>〉</w:t>
      </w:r>
      <w:r w:rsidRPr="00B03D5C">
        <w:rPr>
          <w:rFonts w:hint="eastAsia"/>
          <w:color w:val="5F5F5F"/>
          <w:sz w:val="18"/>
          <w:szCs w:val="20"/>
        </w:rPr>
        <w:t>文件引導模式</w:t>
      </w:r>
      <w:r w:rsidRPr="00B03D5C">
        <w:rPr>
          <w:rFonts w:hint="eastAsia"/>
          <w:color w:val="5F5F5F"/>
          <w:sz w:val="18"/>
          <w:szCs w:val="20"/>
        </w:rPr>
        <w:t>/</w:t>
      </w:r>
      <w:r w:rsidRPr="00B03D5C">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3E2CD883" w14:textId="77777777" w:rsidTr="00B03D5C">
        <w:trPr>
          <w:cantSplit/>
          <w:tblCellSpacing w:w="0" w:type="dxa"/>
        </w:trPr>
        <w:tc>
          <w:tcPr>
            <w:tcW w:w="556" w:type="pct"/>
            <w:tcBorders>
              <w:top w:val="nil"/>
              <w:left w:val="nil"/>
              <w:bottom w:val="nil"/>
              <w:right w:val="nil"/>
            </w:tcBorders>
            <w:shd w:val="clear" w:color="auto" w:fill="339966"/>
            <w:vAlign w:val="center"/>
          </w:tcPr>
          <w:p w14:paraId="7B09FDE5" w14:textId="11CF7832" w:rsidR="0045425A" w:rsidRPr="008013F3" w:rsidRDefault="00247912" w:rsidP="00C564DD">
            <w:pPr>
              <w:ind w:leftChars="-6" w:left="-12"/>
              <w:jc w:val="center"/>
              <w:rPr>
                <w:rFonts w:ascii="Arial Unicode MS" w:hAnsi="Arial Unicode MS"/>
                <w:b/>
                <w:bCs/>
                <w:color w:val="FFFFFF"/>
                <w:szCs w:val="20"/>
              </w:rPr>
            </w:pPr>
            <w:r w:rsidRPr="00247912">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14:paraId="495E2317" w14:textId="77777777" w:rsidR="0045425A" w:rsidRPr="002B0F1A" w:rsidRDefault="00B3598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B3598C">
              <w:rPr>
                <w:rFonts w:eastAsia="標楷體" w:hint="eastAsia"/>
                <w:sz w:val="30"/>
                <w:szCs w:val="28"/>
                <w14:shadow w14:blurRad="50800" w14:dist="38100" w14:dir="2700000" w14:sx="100000" w14:sy="100000" w14:kx="0" w14:ky="0" w14:algn="tl">
                  <w14:srgbClr w14:val="000000">
                    <w14:alpha w14:val="60000"/>
                  </w14:srgbClr>
                </w14:shadow>
              </w:rPr>
              <w:t>法官倫理規範</w:t>
            </w:r>
          </w:p>
        </w:tc>
        <w:tc>
          <w:tcPr>
            <w:tcW w:w="1435" w:type="pct"/>
            <w:tcBorders>
              <w:top w:val="nil"/>
              <w:left w:val="nil"/>
              <w:bottom w:val="nil"/>
              <w:right w:val="nil"/>
            </w:tcBorders>
            <w:shd w:val="clear" w:color="auto" w:fill="F6FCF9"/>
            <w:vAlign w:val="center"/>
          </w:tcPr>
          <w:p w14:paraId="3B750E96" w14:textId="7CA66D66"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394716" w:rsidRPr="00394716">
              <w:rPr>
                <w:rFonts w:ascii="Arial Unicode MS" w:hAnsi="Arial Unicode MS" w:hint="eastAsia"/>
                <w:color w:val="333333"/>
              </w:rPr>
              <w:t>發</w:t>
            </w:r>
            <w:r w:rsidRPr="000509F5">
              <w:rPr>
                <w:rFonts w:ascii="Arial Unicode MS" w:hAnsi="Arial Unicode MS"/>
                <w:color w:val="333333"/>
              </w:rPr>
              <w:t>布日期】</w:t>
            </w:r>
            <w:r w:rsidR="00C04E70">
              <w:rPr>
                <w:rFonts w:ascii="Arial Unicode MS" w:hAnsi="Arial Unicode MS" w:hint="eastAsia"/>
                <w:color w:val="333333"/>
              </w:rPr>
              <w:t>101.01.05</w:t>
            </w:r>
          </w:p>
          <w:p w14:paraId="14BD532E" w14:textId="33BEDEE5"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394716" w:rsidRPr="00394716">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F4425A" w:rsidRPr="00F56F73">
                <w:rPr>
                  <w:rStyle w:val="a3"/>
                  <w:sz w:val="18"/>
                </w:rPr>
                <w:t>司法院</w:t>
              </w:r>
            </w:hyperlink>
          </w:p>
        </w:tc>
      </w:tr>
    </w:tbl>
    <w:p w14:paraId="597AFA65" w14:textId="380574EC"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法官倫理規範"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47912">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247912">
        <w:rPr>
          <w:rFonts w:ascii="Arial Unicode MS" w:hAnsi="Arial Unicode MS" w:hint="eastAsia"/>
          <w:b/>
          <w:color w:val="5F5F5F"/>
          <w:sz w:val="18"/>
        </w:rPr>
        <w:t>〉〉</w:t>
      </w:r>
    </w:p>
    <w:p w14:paraId="5DE4E89B" w14:textId="77777777"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14:paraId="31BC5C13" w14:textId="77777777" w:rsidR="00C04E70" w:rsidRPr="00C04E70" w:rsidRDefault="00C04E70" w:rsidP="00C04E70">
      <w:pPr>
        <w:rPr>
          <w:rFonts w:ascii="Arial Unicode MS" w:hAnsi="Arial Unicode MS"/>
          <w:sz w:val="18"/>
        </w:rPr>
      </w:pPr>
      <w:r w:rsidRPr="00C04E70">
        <w:rPr>
          <w:rFonts w:ascii="Arial Unicode MS" w:hAnsi="Arial Unicode MS"/>
          <w:b/>
          <w:sz w:val="18"/>
        </w:rPr>
        <w:t>1</w:t>
      </w:r>
      <w:r w:rsidRPr="00C04E70">
        <w:rPr>
          <w:rFonts w:ascii="Arial Unicode MS" w:hAnsi="Arial Unicode MS" w:cs="新細明體" w:hint="eastAsia"/>
          <w:b/>
          <w:sz w:val="18"/>
        </w:rPr>
        <w:t>‧</w:t>
      </w:r>
      <w:r w:rsidRPr="00C04E70">
        <w:rPr>
          <w:rFonts w:ascii="Arial Unicode MS" w:hAnsi="Arial Unicode MS"/>
          <w:sz w:val="18"/>
        </w:rPr>
        <w:t>中華民國一百零一年一月五日司法院院台廳司一字第</w:t>
      </w:r>
      <w:r w:rsidRPr="00C04E70">
        <w:rPr>
          <w:rFonts w:ascii="Arial Unicode MS" w:hAnsi="Arial Unicode MS"/>
          <w:sz w:val="18"/>
        </w:rPr>
        <w:t>1010000646</w:t>
      </w:r>
      <w:r w:rsidRPr="00C04E70">
        <w:rPr>
          <w:rFonts w:ascii="Arial Unicode MS" w:hAnsi="Arial Unicode MS"/>
          <w:sz w:val="18"/>
        </w:rPr>
        <w:t>號令訂定發布全文</w:t>
      </w:r>
      <w:r w:rsidRPr="00C04E70">
        <w:rPr>
          <w:rFonts w:ascii="Arial Unicode MS" w:hAnsi="Arial Unicode MS"/>
          <w:sz w:val="18"/>
        </w:rPr>
        <w:t>28</w:t>
      </w:r>
      <w:r w:rsidRPr="00C04E70">
        <w:rPr>
          <w:rFonts w:ascii="Arial Unicode MS" w:hAnsi="Arial Unicode MS"/>
          <w:sz w:val="18"/>
        </w:rPr>
        <w:t>條；並自一百零一年一月六日施行</w:t>
      </w:r>
      <w:r w:rsidRPr="00C04E70">
        <w:rPr>
          <w:rFonts w:ascii="Arial Unicode MS" w:hAnsi="Arial Unicode MS"/>
          <w:sz w:val="18"/>
        </w:rPr>
        <w:t xml:space="preserve"> </w:t>
      </w:r>
    </w:p>
    <w:p w14:paraId="22250F9C" w14:textId="77777777" w:rsidR="002B245E" w:rsidRDefault="002B245E" w:rsidP="002B245E">
      <w:pPr>
        <w:ind w:firstLineChars="100" w:firstLine="180"/>
        <w:rPr>
          <w:rFonts w:ascii="Arial Unicode MS" w:hAnsi="Arial Unicode MS"/>
          <w:sz w:val="18"/>
        </w:rPr>
      </w:pPr>
    </w:p>
    <w:p w14:paraId="02D48AD3" w14:textId="18287F2A" w:rsidR="0045425A" w:rsidRPr="00C564DD" w:rsidRDefault="00394716" w:rsidP="00C564DD">
      <w:pPr>
        <w:pStyle w:val="1"/>
        <w:rPr>
          <w:color w:val="990000"/>
        </w:rPr>
      </w:pPr>
      <w:r>
        <w:rPr>
          <w:color w:val="990000"/>
        </w:rPr>
        <w:t>【法規內容】</w:t>
      </w:r>
    </w:p>
    <w:p w14:paraId="13A1F3CD" w14:textId="77777777" w:rsidR="00394716" w:rsidRDefault="00C04E70" w:rsidP="00297261">
      <w:pPr>
        <w:pStyle w:val="2"/>
      </w:pPr>
      <w:r w:rsidRPr="00297261">
        <w:t>第</w:t>
      </w:r>
      <w:r w:rsidRPr="00297261">
        <w:t>1</w:t>
      </w:r>
      <w:r w:rsidR="00394716">
        <w:t>條</w:t>
      </w:r>
    </w:p>
    <w:p w14:paraId="254DFC5B" w14:textId="2FE54B90"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本規範依法官法第</w:t>
      </w:r>
      <w:hyperlink r:id="rId14" w:anchor="a13" w:history="1">
        <w:r w:rsidR="00C04E70" w:rsidRPr="00C04E70">
          <w:rPr>
            <w:rStyle w:val="a3"/>
            <w:rFonts w:ascii="Times New Roman" w:hAnsi="Times New Roman"/>
          </w:rPr>
          <w:t>十三</w:t>
        </w:r>
      </w:hyperlink>
      <w:r w:rsidR="00C04E70">
        <w:t>條第二項規定訂定之。</w:t>
      </w:r>
    </w:p>
    <w:p w14:paraId="5CD712DD" w14:textId="77777777" w:rsidR="00394716" w:rsidRDefault="00C04E70" w:rsidP="00297261">
      <w:pPr>
        <w:pStyle w:val="2"/>
      </w:pPr>
      <w:r>
        <w:t>第</w:t>
      </w:r>
      <w:r>
        <w:t>2</w:t>
      </w:r>
      <w:r w:rsidR="00394716">
        <w:t>條</w:t>
      </w:r>
    </w:p>
    <w:p w14:paraId="4232A019" w14:textId="6761701A"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法官為捍衛自由民主之基本秩序，維護法治，保障人權及自由，應本於良心，依據</w:t>
      </w:r>
      <w:hyperlink r:id="rId15" w:history="1">
        <w:r w:rsidR="00C04E70" w:rsidRPr="005952DF">
          <w:rPr>
            <w:rStyle w:val="a3"/>
            <w:rFonts w:ascii="Times New Roman" w:hAnsi="Times New Roman"/>
          </w:rPr>
          <w:t>憲法</w:t>
        </w:r>
      </w:hyperlink>
      <w:r w:rsidR="00C04E70">
        <w:t>及法律，超然、獨立從事審判及其他司法職務，不受任何干涉，不因家庭、社會、政治、經濟或其他利害關係，或可能遭公眾批評議論而受影響。</w:t>
      </w:r>
    </w:p>
    <w:p w14:paraId="7785C1E3" w14:textId="77777777" w:rsidR="00394716" w:rsidRDefault="00C04E70" w:rsidP="00297261">
      <w:pPr>
        <w:pStyle w:val="2"/>
      </w:pPr>
      <w:bookmarkStart w:id="1" w:name="a3"/>
      <w:bookmarkEnd w:id="1"/>
      <w:r>
        <w:t>第</w:t>
      </w:r>
      <w:r>
        <w:t>3</w:t>
      </w:r>
      <w:r w:rsidR="00394716">
        <w:t>條</w:t>
      </w:r>
    </w:p>
    <w:p w14:paraId="229E10C7" w14:textId="1B166E65"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法官執行職務時，應保持公正、客觀、中立，不得有損及人民對於司法信賴之行為。</w:t>
      </w:r>
    </w:p>
    <w:p w14:paraId="00EC0F69" w14:textId="77777777" w:rsidR="00394716" w:rsidRDefault="00C04E70" w:rsidP="00297261">
      <w:pPr>
        <w:pStyle w:val="2"/>
      </w:pPr>
      <w:r>
        <w:t>第</w:t>
      </w:r>
      <w:r>
        <w:t>4</w:t>
      </w:r>
      <w:r w:rsidR="00394716">
        <w:t>條</w:t>
      </w:r>
    </w:p>
    <w:p w14:paraId="1A5C0BB2" w14:textId="00276CDC"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法官執行職務時，不得因性別、種族、地域、宗教、國籍、年齡、身體、性傾向、婚姻狀態、社會經濟地位、政治關係、文化背景或其他因素，而有偏見、歧視、差別待遇或其他不當行為。</w:t>
      </w:r>
    </w:p>
    <w:p w14:paraId="5F206341" w14:textId="77777777" w:rsidR="00394716" w:rsidRDefault="00C04E70" w:rsidP="00297261">
      <w:pPr>
        <w:pStyle w:val="2"/>
      </w:pPr>
      <w:bookmarkStart w:id="2" w:name="a5"/>
      <w:bookmarkEnd w:id="2"/>
      <w:r>
        <w:t>第</w:t>
      </w:r>
      <w:r>
        <w:t>5</w:t>
      </w:r>
      <w:r w:rsidR="00394716">
        <w:t>條</w:t>
      </w:r>
    </w:p>
    <w:p w14:paraId="2F48341E" w14:textId="104EFF86"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法官應保有高尚品格，謹言慎行，廉潔自持，避免有不當或易被認為損及司法形象之行為。</w:t>
      </w:r>
    </w:p>
    <w:p w14:paraId="59707F84" w14:textId="77777777" w:rsidR="00394716" w:rsidRDefault="00C04E70" w:rsidP="00297261">
      <w:pPr>
        <w:pStyle w:val="2"/>
      </w:pPr>
      <w:r>
        <w:t>第</w:t>
      </w:r>
      <w:r>
        <w:t>6</w:t>
      </w:r>
      <w:r w:rsidR="00394716">
        <w:t>條</w:t>
      </w:r>
    </w:p>
    <w:p w14:paraId="3C0B624F" w14:textId="3624D784"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法官不得利用其職務或名銜，為自己或他人謀取不當財物、利益或要求特殊待遇。</w:t>
      </w:r>
    </w:p>
    <w:p w14:paraId="2E8ECD79" w14:textId="77777777" w:rsidR="00394716" w:rsidRDefault="00C04E70" w:rsidP="00297261">
      <w:pPr>
        <w:pStyle w:val="2"/>
      </w:pPr>
      <w:r>
        <w:t>第</w:t>
      </w:r>
      <w:r>
        <w:t>7</w:t>
      </w:r>
      <w:r w:rsidR="00394716">
        <w:t>條</w:t>
      </w:r>
    </w:p>
    <w:p w14:paraId="470D94F8" w14:textId="6A578327"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法官對於他人承辦之案件，不得關說或請託。</w:t>
      </w:r>
    </w:p>
    <w:p w14:paraId="42D68701" w14:textId="77777777" w:rsidR="00394716" w:rsidRDefault="00C04E70" w:rsidP="00297261">
      <w:pPr>
        <w:pStyle w:val="2"/>
      </w:pPr>
      <w:r>
        <w:t>第</w:t>
      </w:r>
      <w:r>
        <w:t>8</w:t>
      </w:r>
      <w:r w:rsidR="00394716">
        <w:t>條</w:t>
      </w:r>
    </w:p>
    <w:p w14:paraId="3BE5E013" w14:textId="10CA2B38" w:rsidR="00394716"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法官不得收受與其職務上有利害關係者之任何餽贈或其他利益</w:t>
      </w:r>
      <w:r>
        <w:t>。</w:t>
      </w:r>
    </w:p>
    <w:p w14:paraId="367BFB90" w14:textId="1827CE8F" w:rsidR="00394716" w:rsidRDefault="00394716" w:rsidP="00297261">
      <w:pPr>
        <w:ind w:left="142"/>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Pr="00C04E70">
        <w:rPr>
          <w:color w:val="17365D"/>
        </w:rPr>
        <w:t>法官收受與其職務上無利害關係者合乎正常社交禮俗標準之餽贈或其他利益，不得有損司法或法官之獨立、公正、中立、廉潔、正直形象</w:t>
      </w:r>
      <w:r>
        <w:t>。</w:t>
      </w:r>
    </w:p>
    <w:p w14:paraId="55403ADD" w14:textId="166EE35D" w:rsidR="00C04E70" w:rsidRDefault="00394716" w:rsidP="00297261">
      <w:pPr>
        <w:ind w:left="142"/>
      </w:pPr>
      <w:r w:rsidRPr="00394716">
        <w:rPr>
          <w:color w:val="404040" w:themeColor="text1" w:themeTint="BF"/>
          <w:sz w:val="18"/>
        </w:rPr>
        <w:t>﹝</w:t>
      </w:r>
      <w:r w:rsidRPr="00394716">
        <w:rPr>
          <w:color w:val="404040" w:themeColor="text1" w:themeTint="BF"/>
          <w:sz w:val="18"/>
        </w:rPr>
        <w:t>3</w:t>
      </w:r>
      <w:r w:rsidRPr="00394716">
        <w:rPr>
          <w:color w:val="404040" w:themeColor="text1" w:themeTint="BF"/>
          <w:sz w:val="18"/>
        </w:rPr>
        <w:t>﹞</w:t>
      </w:r>
      <w:r w:rsidR="00C04E70">
        <w:t>法官應要求其家庭成員或受其指揮、服從其監督之法院人員遵守前二項規定。</w:t>
      </w:r>
    </w:p>
    <w:p w14:paraId="2EF1B364" w14:textId="77777777" w:rsidR="00394716" w:rsidRDefault="00C04E70" w:rsidP="00297261">
      <w:pPr>
        <w:pStyle w:val="2"/>
      </w:pPr>
      <w:r>
        <w:t>第</w:t>
      </w:r>
      <w:r>
        <w:t>9</w:t>
      </w:r>
      <w:r w:rsidR="00394716">
        <w:t>條</w:t>
      </w:r>
    </w:p>
    <w:p w14:paraId="6CC60B73" w14:textId="416C1931"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法官應隨時注意保持並充實執行職務所需之智識及能力。</w:t>
      </w:r>
    </w:p>
    <w:p w14:paraId="169810EB" w14:textId="77777777" w:rsidR="00394716" w:rsidRDefault="00C04E70" w:rsidP="00297261">
      <w:pPr>
        <w:pStyle w:val="2"/>
      </w:pPr>
      <w:r>
        <w:lastRenderedPageBreak/>
        <w:t>第</w:t>
      </w:r>
      <w:r>
        <w:t>10</w:t>
      </w:r>
      <w:r w:rsidR="00394716">
        <w:t>條</w:t>
      </w:r>
    </w:p>
    <w:p w14:paraId="450BFB3D" w14:textId="4252878E"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法官應善用在職進修、國內外考察或進修之機會，增進其智識及能力。</w:t>
      </w:r>
    </w:p>
    <w:p w14:paraId="32672280" w14:textId="77777777" w:rsidR="00394716" w:rsidRDefault="00C04E70" w:rsidP="00297261">
      <w:pPr>
        <w:pStyle w:val="2"/>
      </w:pPr>
      <w:r>
        <w:t>第</w:t>
      </w:r>
      <w:r>
        <w:t>11</w:t>
      </w:r>
      <w:r w:rsidR="00394716">
        <w:t>條</w:t>
      </w:r>
    </w:p>
    <w:p w14:paraId="0C01AD52" w14:textId="400B6CD7"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法官應謹慎、勤勉、妥速執行職務，不得無故延滯或增加當事人、關係人不合理之負擔。</w:t>
      </w:r>
    </w:p>
    <w:p w14:paraId="56CA0660" w14:textId="77777777" w:rsidR="00394716" w:rsidRDefault="00C04E70" w:rsidP="00297261">
      <w:pPr>
        <w:pStyle w:val="2"/>
      </w:pPr>
      <w:r>
        <w:t>第</w:t>
      </w:r>
      <w:r>
        <w:t>12</w:t>
      </w:r>
      <w:r w:rsidR="00394716">
        <w:t>條</w:t>
      </w:r>
    </w:p>
    <w:p w14:paraId="65A75A65" w14:textId="766E12B9" w:rsidR="00394716"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法官開庭前應充分準備；開庭時應客觀、公正、中立、耐心、有禮聽審，維護當事人、關係人訴訟上權利或辯護權</w:t>
      </w:r>
      <w:r>
        <w:t>。</w:t>
      </w:r>
    </w:p>
    <w:p w14:paraId="26E81E3D" w14:textId="2EC6CAEA" w:rsidR="00394716" w:rsidRDefault="00394716" w:rsidP="00297261">
      <w:pPr>
        <w:ind w:left="142"/>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Pr="00C04E70">
        <w:rPr>
          <w:color w:val="17365D"/>
        </w:rPr>
        <w:t>法官應維持法庭莊嚴及秩序，不得對在庭之人辱罵、無理之責備或有其他損其尊嚴之行為</w:t>
      </w:r>
      <w:r>
        <w:t>。</w:t>
      </w:r>
    </w:p>
    <w:p w14:paraId="525541F8" w14:textId="4A1DC2CC" w:rsidR="00C04E70" w:rsidRDefault="00394716" w:rsidP="00297261">
      <w:pPr>
        <w:ind w:left="142"/>
      </w:pPr>
      <w:r w:rsidRPr="00394716">
        <w:rPr>
          <w:color w:val="404040" w:themeColor="text1" w:themeTint="BF"/>
          <w:sz w:val="18"/>
        </w:rPr>
        <w:t>﹝</w:t>
      </w:r>
      <w:r w:rsidRPr="00394716">
        <w:rPr>
          <w:color w:val="404040" w:themeColor="text1" w:themeTint="BF"/>
          <w:sz w:val="18"/>
        </w:rPr>
        <w:t>3</w:t>
      </w:r>
      <w:r w:rsidRPr="00394716">
        <w:rPr>
          <w:color w:val="404040" w:themeColor="text1" w:themeTint="BF"/>
          <w:sz w:val="18"/>
        </w:rPr>
        <w:t>﹞</w:t>
      </w:r>
      <w:r w:rsidR="00C04E70">
        <w:t>法官得鼓勵、促成當事人進行調解、和解或以其他適當方式解決爭議，但不得以不當之方式為之。</w:t>
      </w:r>
    </w:p>
    <w:p w14:paraId="3AE0D58A" w14:textId="77777777" w:rsidR="00394716" w:rsidRDefault="00C04E70" w:rsidP="00297261">
      <w:pPr>
        <w:pStyle w:val="2"/>
      </w:pPr>
      <w:r>
        <w:t>第</w:t>
      </w:r>
      <w:r>
        <w:t>13</w:t>
      </w:r>
      <w:r w:rsidR="00394716">
        <w:t>條</w:t>
      </w:r>
    </w:p>
    <w:p w14:paraId="7EC33698" w14:textId="5672CA4A"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法官就審判職務上受其指揮或服從其監督之法院人員，應要求其切實依法執行職務。</w:t>
      </w:r>
    </w:p>
    <w:p w14:paraId="7059CC2D" w14:textId="77777777" w:rsidR="00394716" w:rsidRDefault="00C04E70" w:rsidP="00297261">
      <w:pPr>
        <w:pStyle w:val="2"/>
      </w:pPr>
      <w:r>
        <w:t>第</w:t>
      </w:r>
      <w:r>
        <w:t>14</w:t>
      </w:r>
      <w:r w:rsidR="00394716">
        <w:t>條</w:t>
      </w:r>
    </w:p>
    <w:p w14:paraId="3764EB00" w14:textId="56E8476E"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法官知悉於收受案件時，當事人之代理人或辯護人與自己之家庭成員於同一事務所執行律師業務者，應將其事由告知當事人並陳報院長知悉。</w:t>
      </w:r>
    </w:p>
    <w:p w14:paraId="250DB364" w14:textId="77777777" w:rsidR="00394716" w:rsidRDefault="00C04E70" w:rsidP="00297261">
      <w:pPr>
        <w:pStyle w:val="2"/>
      </w:pPr>
      <w:r>
        <w:t>第</w:t>
      </w:r>
      <w:r>
        <w:t>15</w:t>
      </w:r>
      <w:r w:rsidR="00394716">
        <w:t>條</w:t>
      </w:r>
    </w:p>
    <w:p w14:paraId="2828EB8D" w14:textId="002DF64E"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法官就承辦之案件，除有下列情形之一者外，不得僅與一方當事人或其關係人溝通、會面：</w:t>
      </w:r>
    </w:p>
    <w:p w14:paraId="6BCCF47E" w14:textId="77777777" w:rsidR="00394716" w:rsidRDefault="00C04E70" w:rsidP="00297261">
      <w:pPr>
        <w:ind w:left="142"/>
      </w:pPr>
      <w:r>
        <w:t xml:space="preserve">　　一、有急迫情形，無法通知他方當事人到場</w:t>
      </w:r>
      <w:r w:rsidR="00394716">
        <w:t>。</w:t>
      </w:r>
    </w:p>
    <w:p w14:paraId="4DE36E32" w14:textId="496557F4" w:rsidR="00394716" w:rsidRDefault="00394716" w:rsidP="00297261">
      <w:pPr>
        <w:ind w:left="142"/>
      </w:pPr>
      <w:r>
        <w:t xml:space="preserve">　　二、</w:t>
      </w:r>
      <w:r w:rsidR="00C04E70">
        <w:t>經他方當事人同意</w:t>
      </w:r>
      <w:r>
        <w:t>。</w:t>
      </w:r>
    </w:p>
    <w:p w14:paraId="30C05321" w14:textId="468871BC" w:rsidR="00394716" w:rsidRDefault="00394716" w:rsidP="00297261">
      <w:pPr>
        <w:ind w:left="142"/>
      </w:pPr>
      <w:r>
        <w:t xml:space="preserve">　　三、</w:t>
      </w:r>
      <w:r w:rsidR="00C04E70">
        <w:t>就期日之指定、程序之進行或其他無涉實體事項之正當情形</w:t>
      </w:r>
      <w:r>
        <w:t>。</w:t>
      </w:r>
    </w:p>
    <w:p w14:paraId="71AD909E" w14:textId="344459FD" w:rsidR="00394716" w:rsidRDefault="00394716" w:rsidP="00297261">
      <w:pPr>
        <w:ind w:left="142"/>
      </w:pPr>
      <w:r>
        <w:t xml:space="preserve">　　四、</w:t>
      </w:r>
      <w:r w:rsidR="00C04E70">
        <w:t>法令另有規定或依其事件之性質確有必要</w:t>
      </w:r>
      <w:r>
        <w:t>。</w:t>
      </w:r>
    </w:p>
    <w:p w14:paraId="2663D36E" w14:textId="2EEC948C" w:rsidR="00C04E70" w:rsidRPr="00C04E70" w:rsidRDefault="00394716" w:rsidP="00297261">
      <w:pPr>
        <w:ind w:left="142"/>
        <w:rPr>
          <w:color w:val="17365D"/>
        </w:rPr>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00C04E70" w:rsidRPr="00C04E70">
        <w:rPr>
          <w:color w:val="17365D"/>
        </w:rPr>
        <w:t>有前項各款情形之一者，法官應儘速將單方溝通、會面內容告知他方當事人。但法令另有規定者，不在此限。</w:t>
      </w:r>
    </w:p>
    <w:p w14:paraId="1BBDFE4B" w14:textId="77777777" w:rsidR="00394716" w:rsidRDefault="00C04E70" w:rsidP="00297261">
      <w:pPr>
        <w:pStyle w:val="2"/>
      </w:pPr>
      <w:r>
        <w:t>第</w:t>
      </w:r>
      <w:r>
        <w:t>16</w:t>
      </w:r>
      <w:r w:rsidR="00394716">
        <w:t>條</w:t>
      </w:r>
    </w:p>
    <w:p w14:paraId="0F8B64D6" w14:textId="66D734C0"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法官不得揭露或利用因職務所知悉之非公開訊息。</w:t>
      </w:r>
    </w:p>
    <w:p w14:paraId="5672FE5D" w14:textId="77777777" w:rsidR="00394716" w:rsidRDefault="00C04E70" w:rsidP="00297261">
      <w:pPr>
        <w:pStyle w:val="2"/>
      </w:pPr>
      <w:r>
        <w:t>第</w:t>
      </w:r>
      <w:r>
        <w:t>17</w:t>
      </w:r>
      <w:r w:rsidR="00394716">
        <w:t>條</w:t>
      </w:r>
    </w:p>
    <w:p w14:paraId="77E41C17" w14:textId="18C9C962" w:rsidR="00394716"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法官對於繫屬中或即將繫屬之案件，不得公開發表可能影響裁判或程序公正之言論。但依合理之預期，不足以影響裁判或程序公正，或本於職務上所必要之公開解說者，不在此限</w:t>
      </w:r>
      <w:r>
        <w:t>。</w:t>
      </w:r>
    </w:p>
    <w:p w14:paraId="537B78ED" w14:textId="6F992A1E" w:rsidR="00C04E70" w:rsidRPr="00C04E70" w:rsidRDefault="00394716" w:rsidP="00297261">
      <w:pPr>
        <w:ind w:left="142"/>
        <w:rPr>
          <w:color w:val="17365D"/>
        </w:rPr>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00C04E70" w:rsidRPr="00C04E70">
        <w:rPr>
          <w:color w:val="17365D"/>
        </w:rPr>
        <w:t>法官應要求受其指揮或服從其監督之法院人員遵守前項規定。</w:t>
      </w:r>
    </w:p>
    <w:p w14:paraId="22C54E9F" w14:textId="77777777" w:rsidR="00394716" w:rsidRDefault="00C04E70" w:rsidP="00297261">
      <w:pPr>
        <w:pStyle w:val="2"/>
      </w:pPr>
      <w:r>
        <w:t>第</w:t>
      </w:r>
      <w:r>
        <w:t>18</w:t>
      </w:r>
      <w:r w:rsidR="00394716">
        <w:t>條</w:t>
      </w:r>
    </w:p>
    <w:p w14:paraId="6938BA65" w14:textId="131F4D78"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法官參與職務外之團體、組織或活動，不得與司法職責產生衝突，或有損於司法或法官之獨立、公正、中立、廉潔、正直形象。</w:t>
      </w:r>
    </w:p>
    <w:p w14:paraId="31A58F5C" w14:textId="77777777" w:rsidR="00394716" w:rsidRDefault="00C04E70" w:rsidP="00297261">
      <w:pPr>
        <w:pStyle w:val="2"/>
      </w:pPr>
      <w:r>
        <w:t>第</w:t>
      </w:r>
      <w:r>
        <w:t>19</w:t>
      </w:r>
      <w:r w:rsidR="00394716">
        <w:t>條</w:t>
      </w:r>
    </w:p>
    <w:p w14:paraId="63CE83B3" w14:textId="18F7058C"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法官不得為任何團體、組織募款或召募成員。但為機關內部成員所組成或無損於司法或法官之獨立、公正、中立、廉潔、正直形象之團體、組織募款或召募成員，不在此限。</w:t>
      </w:r>
    </w:p>
    <w:p w14:paraId="080CE050" w14:textId="77777777" w:rsidR="00394716" w:rsidRDefault="00C04E70" w:rsidP="00297261">
      <w:pPr>
        <w:pStyle w:val="2"/>
      </w:pPr>
      <w:r>
        <w:lastRenderedPageBreak/>
        <w:t>第</w:t>
      </w:r>
      <w:r>
        <w:t>20</w:t>
      </w:r>
      <w:r w:rsidR="00394716">
        <w:t>條</w:t>
      </w:r>
    </w:p>
    <w:p w14:paraId="40E6C62D" w14:textId="290D4095" w:rsidR="00394716"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法官參與司法職務外之活動，而收受非政府機關支給之報酬或補助逾一定金額者，應申報之</w:t>
      </w:r>
      <w:r>
        <w:t>。</w:t>
      </w:r>
    </w:p>
    <w:p w14:paraId="1377855F" w14:textId="6E9FEAB1" w:rsidR="00C04E70" w:rsidRPr="00C04E70" w:rsidRDefault="00394716" w:rsidP="00297261">
      <w:pPr>
        <w:ind w:left="142"/>
        <w:rPr>
          <w:color w:val="17365D"/>
        </w:rPr>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00C04E70" w:rsidRPr="00C04E70">
        <w:rPr>
          <w:color w:val="17365D"/>
        </w:rPr>
        <w:t>前項所稱一定金額及申報程序，由司法院定之。</w:t>
      </w:r>
    </w:p>
    <w:p w14:paraId="4D98D77A" w14:textId="77777777" w:rsidR="00394716" w:rsidRDefault="00C04E70" w:rsidP="00297261">
      <w:pPr>
        <w:pStyle w:val="2"/>
      </w:pPr>
      <w:r>
        <w:t>第</w:t>
      </w:r>
      <w:r>
        <w:t>21</w:t>
      </w:r>
      <w:r w:rsidR="00394716">
        <w:t>條</w:t>
      </w:r>
    </w:p>
    <w:p w14:paraId="36DF602A" w14:textId="56745CD6"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法官於任職期間不得從事下列政治活動：</w:t>
      </w:r>
    </w:p>
    <w:p w14:paraId="0B62AC78" w14:textId="77777777" w:rsidR="00394716" w:rsidRDefault="00C04E70" w:rsidP="00297261">
      <w:pPr>
        <w:ind w:left="142"/>
      </w:pPr>
      <w:r>
        <w:t xml:space="preserve">　　一、為政黨、政治團體、組織或其內部候選人、公職候選人公開發言或發表演說</w:t>
      </w:r>
      <w:r w:rsidR="00394716">
        <w:t>。</w:t>
      </w:r>
    </w:p>
    <w:p w14:paraId="5BA2555E" w14:textId="1559826C" w:rsidR="00394716" w:rsidRDefault="00394716" w:rsidP="00297261">
      <w:pPr>
        <w:ind w:left="142"/>
      </w:pPr>
      <w:r>
        <w:t xml:space="preserve">　　二、</w:t>
      </w:r>
      <w:r w:rsidR="00C04E70">
        <w:t>公開支持、反對或評論任一政黨、政治團體、組織或其內部候選人、公職候選人</w:t>
      </w:r>
      <w:r>
        <w:t>。</w:t>
      </w:r>
    </w:p>
    <w:p w14:paraId="0D82B26E" w14:textId="351E4B0A" w:rsidR="00394716" w:rsidRDefault="00394716" w:rsidP="00297261">
      <w:pPr>
        <w:ind w:left="142"/>
      </w:pPr>
      <w:r>
        <w:t xml:space="preserve">　　三、</w:t>
      </w:r>
      <w:r w:rsidR="00C04E70">
        <w:t>為政黨、政治團體、組織或其內部候選人、公職候選人募款或為其他協助</w:t>
      </w:r>
      <w:r>
        <w:t>。</w:t>
      </w:r>
    </w:p>
    <w:p w14:paraId="7FE1952D" w14:textId="24BA7492" w:rsidR="00394716" w:rsidRDefault="00394716" w:rsidP="00297261">
      <w:pPr>
        <w:ind w:left="142"/>
      </w:pPr>
      <w:r>
        <w:t xml:space="preserve">　　四、</w:t>
      </w:r>
      <w:r w:rsidR="00C04E70">
        <w:t>參與政黨、政治團體、組織之內部候選人、公職候選人之政治性集會或活動</w:t>
      </w:r>
      <w:r>
        <w:t>。</w:t>
      </w:r>
    </w:p>
    <w:p w14:paraId="742CC06F" w14:textId="128AA1B6" w:rsidR="00C04E70" w:rsidRPr="00C04E70" w:rsidRDefault="00394716" w:rsidP="00297261">
      <w:pPr>
        <w:ind w:left="142"/>
        <w:rPr>
          <w:color w:val="17365D"/>
        </w:rPr>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00C04E70" w:rsidRPr="00C04E70">
        <w:rPr>
          <w:color w:val="17365D"/>
        </w:rPr>
        <w:t>法官不得指示受其指揮或服從其監督之法院人員或利用他人代為從事前項活動；並應採取合理措施，避免親友利用法官名義從事前項活動。</w:t>
      </w:r>
    </w:p>
    <w:p w14:paraId="585386CA" w14:textId="77777777" w:rsidR="00394716" w:rsidRDefault="00C04E70" w:rsidP="00297261">
      <w:pPr>
        <w:pStyle w:val="2"/>
      </w:pPr>
      <w:r>
        <w:t>第</w:t>
      </w:r>
      <w:r>
        <w:t>22</w:t>
      </w:r>
      <w:r w:rsidR="00394716">
        <w:t>條</w:t>
      </w:r>
    </w:p>
    <w:p w14:paraId="58D9E923" w14:textId="6CD62817"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法官應避免為與司法或法官獨立、公正、中立、廉潔、正直形象不相容之飲宴應酬、社交活動或財物往來。</w:t>
      </w:r>
    </w:p>
    <w:p w14:paraId="1850FC9F" w14:textId="77777777" w:rsidR="00394716" w:rsidRDefault="00C04E70" w:rsidP="00297261">
      <w:pPr>
        <w:pStyle w:val="2"/>
      </w:pPr>
      <w:r>
        <w:t>第</w:t>
      </w:r>
      <w:r>
        <w:t>23</w:t>
      </w:r>
      <w:r w:rsidR="00394716">
        <w:t>條</w:t>
      </w:r>
    </w:p>
    <w:p w14:paraId="1A594E29" w14:textId="448D818C"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法官不得經營商業或其他營利事業，亦不得為有減損法官廉潔、正直形象之其他經濟活動。</w:t>
      </w:r>
    </w:p>
    <w:p w14:paraId="2384E8CB" w14:textId="77777777" w:rsidR="00394716" w:rsidRDefault="00C04E70" w:rsidP="00297261">
      <w:pPr>
        <w:pStyle w:val="2"/>
      </w:pPr>
      <w:bookmarkStart w:id="3" w:name="a24"/>
      <w:bookmarkEnd w:id="3"/>
      <w:r>
        <w:t>第</w:t>
      </w:r>
      <w:r>
        <w:t>24</w:t>
      </w:r>
      <w:r w:rsidR="00394716">
        <w:t>條</w:t>
      </w:r>
    </w:p>
    <w:p w14:paraId="1B6D7B33" w14:textId="05C83722" w:rsidR="00394716"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法官不得執行律師職務，並避免為輔佐人。但無償為其家庭成員、親屬提供法律諮詢或草擬法律文書者，不在此限</w:t>
      </w:r>
      <w:r>
        <w:t>。</w:t>
      </w:r>
    </w:p>
    <w:p w14:paraId="6FC6CBAD" w14:textId="7B736394" w:rsidR="00C04E70" w:rsidRPr="00C04E70" w:rsidRDefault="00394716" w:rsidP="00297261">
      <w:pPr>
        <w:ind w:left="142"/>
        <w:rPr>
          <w:color w:val="17365D"/>
        </w:rPr>
      </w:pPr>
      <w:r w:rsidRPr="00394716">
        <w:rPr>
          <w:color w:val="404040" w:themeColor="text1" w:themeTint="BF"/>
          <w:sz w:val="18"/>
        </w:rPr>
        <w:t>﹝</w:t>
      </w:r>
      <w:r w:rsidRPr="00394716">
        <w:rPr>
          <w:color w:val="404040" w:themeColor="text1" w:themeTint="BF"/>
          <w:sz w:val="18"/>
        </w:rPr>
        <w:t>2</w:t>
      </w:r>
      <w:r w:rsidRPr="00394716">
        <w:rPr>
          <w:color w:val="404040" w:themeColor="text1" w:themeTint="BF"/>
          <w:sz w:val="18"/>
        </w:rPr>
        <w:t>﹞</w:t>
      </w:r>
      <w:r w:rsidR="00C04E70" w:rsidRPr="00C04E70">
        <w:rPr>
          <w:color w:val="17365D"/>
        </w:rPr>
        <w:t>前項但書情形，除家庭成員外，法官應告知該親屬宜尋求其他正式專業諮詢或法律服務。</w:t>
      </w:r>
    </w:p>
    <w:p w14:paraId="7C725F9E" w14:textId="77777777" w:rsidR="00394716" w:rsidRDefault="00C04E70" w:rsidP="00297261">
      <w:pPr>
        <w:pStyle w:val="2"/>
      </w:pPr>
      <w:r>
        <w:t>第</w:t>
      </w:r>
      <w:r>
        <w:t>25</w:t>
      </w:r>
      <w:r w:rsidR="00394716">
        <w:t>條</w:t>
      </w:r>
    </w:p>
    <w:p w14:paraId="3BA2DD0E" w14:textId="276BB178"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本規範所稱家庭成員，指配偶、直系親屬或家長、家屬。</w:t>
      </w:r>
    </w:p>
    <w:p w14:paraId="1E8B1487" w14:textId="77777777" w:rsidR="00394716" w:rsidRDefault="00C04E70" w:rsidP="00297261">
      <w:pPr>
        <w:pStyle w:val="2"/>
      </w:pPr>
      <w:bookmarkStart w:id="4" w:name="a26"/>
      <w:bookmarkEnd w:id="4"/>
      <w:r>
        <w:t>第</w:t>
      </w:r>
      <w:r>
        <w:t>26</w:t>
      </w:r>
      <w:r w:rsidR="00394716">
        <w:t>條</w:t>
      </w:r>
    </w:p>
    <w:p w14:paraId="176B091D" w14:textId="07FCA99E"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法官執行職務時，知悉其他法官、檢察官或律師確有違反其倫理規範之行為時，應通知該法官、檢察官所屬職務監督權人或律師公會。</w:t>
      </w:r>
    </w:p>
    <w:p w14:paraId="2F8DB76D" w14:textId="77777777" w:rsidR="00394716" w:rsidRDefault="00C04E70" w:rsidP="00297261">
      <w:pPr>
        <w:pStyle w:val="2"/>
      </w:pPr>
      <w:r>
        <w:t>第</w:t>
      </w:r>
      <w:r>
        <w:t>27</w:t>
      </w:r>
      <w:r w:rsidR="00394716">
        <w:t>條</w:t>
      </w:r>
    </w:p>
    <w:p w14:paraId="18B86620" w14:textId="45B9324B" w:rsidR="00C04E70" w:rsidRDefault="00394716" w:rsidP="00297261">
      <w:pPr>
        <w:ind w:left="142"/>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司法院得設諮詢委員會，負責本規範適用疑義之諮詢及研議。</w:t>
      </w:r>
    </w:p>
    <w:p w14:paraId="1EB5E747" w14:textId="77777777" w:rsidR="00394716" w:rsidRDefault="00C04E70" w:rsidP="00297261">
      <w:pPr>
        <w:pStyle w:val="2"/>
      </w:pPr>
      <w:r>
        <w:t>第</w:t>
      </w:r>
      <w:r>
        <w:t>28</w:t>
      </w:r>
      <w:r w:rsidR="00394716">
        <w:t>條</w:t>
      </w:r>
    </w:p>
    <w:p w14:paraId="31336947" w14:textId="4C44F4E6" w:rsidR="00DF678A" w:rsidRDefault="00394716" w:rsidP="00297261">
      <w:pPr>
        <w:ind w:leftChars="75" w:left="150"/>
        <w:jc w:val="both"/>
        <w:rPr>
          <w:rFonts w:ascii="Arial Unicode MS" w:hAnsi="Arial Unicode MS"/>
        </w:rPr>
      </w:pPr>
      <w:r w:rsidRPr="00394716">
        <w:rPr>
          <w:color w:val="404040" w:themeColor="text1" w:themeTint="BF"/>
          <w:sz w:val="18"/>
        </w:rPr>
        <w:t>﹝</w:t>
      </w:r>
      <w:r w:rsidRPr="00394716">
        <w:rPr>
          <w:color w:val="404040" w:themeColor="text1" w:themeTint="BF"/>
          <w:sz w:val="18"/>
        </w:rPr>
        <w:t>1</w:t>
      </w:r>
      <w:r w:rsidRPr="00394716">
        <w:rPr>
          <w:color w:val="404040" w:themeColor="text1" w:themeTint="BF"/>
          <w:sz w:val="18"/>
        </w:rPr>
        <w:t>﹞</w:t>
      </w:r>
      <w:r w:rsidR="00C04E70">
        <w:t>本規範自中華民國一百零一年一月六日施行。</w:t>
      </w:r>
    </w:p>
    <w:p w14:paraId="1C5A8DA8" w14:textId="77777777" w:rsidR="004C1693" w:rsidRDefault="004C1693" w:rsidP="00C564DD">
      <w:pPr>
        <w:ind w:leftChars="75" w:left="150"/>
        <w:jc w:val="both"/>
        <w:rPr>
          <w:rFonts w:ascii="Arial Unicode MS" w:hAnsi="Arial Unicode MS"/>
        </w:rPr>
      </w:pPr>
    </w:p>
    <w:p w14:paraId="58F916BC" w14:textId="77777777" w:rsidR="00DF678A" w:rsidRDefault="00DF678A" w:rsidP="00C564DD">
      <w:pPr>
        <w:ind w:leftChars="75" w:left="150"/>
        <w:jc w:val="both"/>
        <w:rPr>
          <w:rFonts w:ascii="Arial Unicode MS" w:hAnsi="Arial Unicode MS"/>
        </w:rPr>
      </w:pPr>
    </w:p>
    <w:p w14:paraId="16425EDD" w14:textId="77777777" w:rsidR="00247912" w:rsidRPr="002A130B" w:rsidRDefault="00247912" w:rsidP="00247912">
      <w:pPr>
        <w:jc w:val="both"/>
        <w:rPr>
          <w:rFonts w:ascii="Arial Unicode MS" w:hAnsi="Arial Unicode MS" w:cs="新細明體"/>
          <w:color w:val="808080"/>
          <w:sz w:val="18"/>
          <w:szCs w:val="18"/>
        </w:rPr>
      </w:pPr>
      <w:r w:rsidRPr="002A130B">
        <w:rPr>
          <w:rFonts w:ascii="Arial Unicode MS" w:hAnsi="Arial Unicode MS" w:hint="eastAsia"/>
          <w:color w:val="5F5F5F"/>
          <w:sz w:val="18"/>
        </w:rPr>
        <w:t>。。。。。。。。。。。。。。。。。。。。。。。。。。。。。。。。。。。。。。。。。。。。。。。。。。</w:t>
      </w:r>
      <w:hyperlink w:anchor="top" w:history="1">
        <w:hyperlink w:anchor="top" w:history="1">
          <w:r w:rsidRPr="002A130B">
            <w:rPr>
              <w:rStyle w:val="a3"/>
              <w:rFonts w:ascii="Arial Unicode MS" w:hAnsi="Arial Unicode MS" w:hint="eastAsia"/>
              <w:sz w:val="18"/>
            </w:rPr>
            <w:t>回首頁</w:t>
          </w:r>
        </w:hyperlink>
      </w:hyperlink>
      <w:r w:rsidRPr="002A130B">
        <w:rPr>
          <w:rFonts w:ascii="Arial Unicode MS" w:hAnsi="Arial Unicode MS" w:hint="eastAsia"/>
          <w:color w:val="808000"/>
          <w:sz w:val="18"/>
        </w:rPr>
        <w:t>〉〉</w:t>
      </w:r>
    </w:p>
    <w:p w14:paraId="3B0F3FFD" w14:textId="1C1BF699" w:rsidR="0045425A" w:rsidRPr="00247912" w:rsidRDefault="00247912" w:rsidP="00247912">
      <w:pPr>
        <w:ind w:left="142"/>
        <w:jc w:val="both"/>
        <w:rPr>
          <w:rFonts w:ascii="Arial Unicode MS" w:hAnsi="Arial Unicode MS"/>
          <w:color w:val="666699"/>
        </w:rPr>
      </w:pPr>
      <w:r w:rsidRPr="002A130B">
        <w:rPr>
          <w:rFonts w:ascii="Arial Unicode MS" w:hAnsi="Arial Unicode MS" w:hint="eastAsia"/>
          <w:color w:val="5F5F5F"/>
          <w:sz w:val="18"/>
          <w:szCs w:val="18"/>
        </w:rPr>
        <w:t>【編註】本超連結法規檔提供學習與參考為原則；如需正式引用，請以正式公告版為準。如有發現待更正部份及您所需本站未收編之法規</w:t>
      </w:r>
      <w:r w:rsidRPr="002A130B">
        <w:rPr>
          <w:rFonts w:ascii="Arial Unicode MS" w:hAnsi="Arial Unicode MS" w:hint="eastAsia"/>
          <w:color w:val="5F5F5F"/>
          <w:sz w:val="18"/>
          <w:szCs w:val="20"/>
        </w:rPr>
        <w:t>，</w:t>
      </w:r>
      <w:r w:rsidRPr="002A130B">
        <w:rPr>
          <w:rFonts w:ascii="Arial Unicode MS" w:hAnsi="Arial Unicode MS"/>
          <w:color w:val="5F5F5F"/>
          <w:sz w:val="18"/>
          <w:szCs w:val="20"/>
        </w:rPr>
        <w:t>敬請</w:t>
      </w:r>
      <w:hyperlink r:id="rId16" w:history="1">
        <w:r w:rsidRPr="00DD43C7">
          <w:rPr>
            <w:rStyle w:val="a3"/>
            <w:rFonts w:ascii="Arial Unicode MS" w:hAnsi="Arial Unicode MS"/>
            <w:sz w:val="18"/>
            <w:szCs w:val="20"/>
          </w:rPr>
          <w:t>告知</w:t>
        </w:r>
      </w:hyperlink>
      <w:r w:rsidRPr="002A130B">
        <w:rPr>
          <w:rFonts w:ascii="Arial Unicode MS" w:hAnsi="Arial Unicode MS" w:hint="eastAsia"/>
          <w:color w:val="5F5F5F"/>
          <w:sz w:val="18"/>
          <w:szCs w:val="20"/>
        </w:rPr>
        <w:t>，謝謝！</w:t>
      </w:r>
    </w:p>
    <w:sectPr w:rsidR="0045425A" w:rsidRPr="00247912">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6B91" w14:textId="77777777" w:rsidR="00445C68" w:rsidRDefault="00445C68">
      <w:r>
        <w:separator/>
      </w:r>
    </w:p>
  </w:endnote>
  <w:endnote w:type="continuationSeparator" w:id="0">
    <w:p w14:paraId="63260866" w14:textId="77777777" w:rsidR="00445C68" w:rsidRDefault="004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BCA6"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12CFAC"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FA6A"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52DF">
      <w:rPr>
        <w:rStyle w:val="a7"/>
        <w:noProof/>
      </w:rPr>
      <w:t>1</w:t>
    </w:r>
    <w:r>
      <w:rPr>
        <w:rStyle w:val="a7"/>
      </w:rPr>
      <w:fldChar w:fldCharType="end"/>
    </w:r>
  </w:p>
  <w:p w14:paraId="2E207EEA" w14:textId="4BC9B490" w:rsidR="008013F3" w:rsidRPr="00464EE7" w:rsidRDefault="00247912">
    <w:pPr>
      <w:pStyle w:val="a6"/>
      <w:ind w:right="360"/>
      <w:jc w:val="right"/>
      <w:rPr>
        <w:rFonts w:ascii="Arial Unicode MS" w:hAnsi="Arial Unicode MS"/>
        <w:sz w:val="18"/>
      </w:rPr>
    </w:pPr>
    <w:r>
      <w:rPr>
        <w:rFonts w:ascii="Arial Unicode MS" w:hAnsi="Arial Unicode MS" w:hint="eastAsia"/>
        <w:sz w:val="18"/>
      </w:rPr>
      <w:t>〈〈</w:t>
    </w:r>
    <w:r w:rsidR="00C04E70" w:rsidRPr="00C04E70">
      <w:rPr>
        <w:rFonts w:ascii="Arial Unicode MS" w:hAnsi="Arial Unicode MS" w:hint="eastAsia"/>
        <w:sz w:val="18"/>
      </w:rPr>
      <w:t>法官倫理規範</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85ED2" w14:textId="77777777" w:rsidR="00445C68" w:rsidRDefault="00445C68">
      <w:r>
        <w:separator/>
      </w:r>
    </w:p>
  </w:footnote>
  <w:footnote w:type="continuationSeparator" w:id="0">
    <w:p w14:paraId="3EFA64EA" w14:textId="77777777" w:rsidR="00445C68" w:rsidRDefault="0044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509F5"/>
    <w:rsid w:val="00081157"/>
    <w:rsid w:val="000C7574"/>
    <w:rsid w:val="000C781E"/>
    <w:rsid w:val="00104FBB"/>
    <w:rsid w:val="001203F7"/>
    <w:rsid w:val="001605C6"/>
    <w:rsid w:val="001D50AD"/>
    <w:rsid w:val="00247912"/>
    <w:rsid w:val="00254AC2"/>
    <w:rsid w:val="00297261"/>
    <w:rsid w:val="002B0F1A"/>
    <w:rsid w:val="002B245E"/>
    <w:rsid w:val="003757D6"/>
    <w:rsid w:val="00394716"/>
    <w:rsid w:val="0041579E"/>
    <w:rsid w:val="00422203"/>
    <w:rsid w:val="004277CF"/>
    <w:rsid w:val="00445C68"/>
    <w:rsid w:val="0045425A"/>
    <w:rsid w:val="00464EE7"/>
    <w:rsid w:val="004702E6"/>
    <w:rsid w:val="004A6E50"/>
    <w:rsid w:val="004C1693"/>
    <w:rsid w:val="0051365B"/>
    <w:rsid w:val="00520F8A"/>
    <w:rsid w:val="0054694E"/>
    <w:rsid w:val="0056107E"/>
    <w:rsid w:val="005952DF"/>
    <w:rsid w:val="005E4CE0"/>
    <w:rsid w:val="006630C8"/>
    <w:rsid w:val="006817A2"/>
    <w:rsid w:val="006C53DB"/>
    <w:rsid w:val="006E7FE9"/>
    <w:rsid w:val="00706DF9"/>
    <w:rsid w:val="0072185D"/>
    <w:rsid w:val="0072241A"/>
    <w:rsid w:val="0072449D"/>
    <w:rsid w:val="007A1501"/>
    <w:rsid w:val="007B59EF"/>
    <w:rsid w:val="007C4FA0"/>
    <w:rsid w:val="007F4C46"/>
    <w:rsid w:val="008013F3"/>
    <w:rsid w:val="008B5DF5"/>
    <w:rsid w:val="00911FC0"/>
    <w:rsid w:val="00967AED"/>
    <w:rsid w:val="009A1D56"/>
    <w:rsid w:val="009A4925"/>
    <w:rsid w:val="009F4926"/>
    <w:rsid w:val="00AB72F0"/>
    <w:rsid w:val="00B03D5C"/>
    <w:rsid w:val="00B3598C"/>
    <w:rsid w:val="00C04E70"/>
    <w:rsid w:val="00C12E3D"/>
    <w:rsid w:val="00C348EE"/>
    <w:rsid w:val="00C564DD"/>
    <w:rsid w:val="00C82059"/>
    <w:rsid w:val="00C91A2B"/>
    <w:rsid w:val="00D2766B"/>
    <w:rsid w:val="00D65CA3"/>
    <w:rsid w:val="00D73296"/>
    <w:rsid w:val="00D905D3"/>
    <w:rsid w:val="00DF678A"/>
    <w:rsid w:val="00E5004F"/>
    <w:rsid w:val="00E60425"/>
    <w:rsid w:val="00E716CA"/>
    <w:rsid w:val="00E840C3"/>
    <w:rsid w:val="00EB27D6"/>
    <w:rsid w:val="00EC7AEC"/>
    <w:rsid w:val="00F24DB0"/>
    <w:rsid w:val="00F25F91"/>
    <w:rsid w:val="00F4425A"/>
    <w:rsid w:val="00F50E72"/>
    <w:rsid w:val="00F61314"/>
    <w:rsid w:val="00F73622"/>
    <w:rsid w:val="00FD17B6"/>
    <w:rsid w:val="00FE0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610658"/>
  <w15:docId w15:val="{AA77480B-0469-4C4A-8194-73E56A4A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29726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97261"/>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24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1056899159">
      <w:bodyDiv w:val="1"/>
      <w:marLeft w:val="0"/>
      <w:marRight w:val="0"/>
      <w:marTop w:val="0"/>
      <w:marBottom w:val="0"/>
      <w:divBdr>
        <w:top w:val="none" w:sz="0" w:space="0" w:color="auto"/>
        <w:left w:val="none" w:sz="0" w:space="0" w:color="auto"/>
        <w:bottom w:val="none" w:sz="0" w:space="0" w:color="auto"/>
        <w:right w:val="none" w:sz="0" w:space="0" w:color="auto"/>
      </w:divBdr>
    </w:div>
    <w:div w:id="1161626048">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7861;&#23448;&#20523;&#29702;&#35215;&#31684;.htm"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judicial.gov.tw/" TargetMode="External"/><Relationship Id="rId5" Type="http://schemas.openxmlformats.org/officeDocument/2006/relationships/endnotes" Target="endnotes.xml"/><Relationship Id="rId15" Type="http://schemas.openxmlformats.org/officeDocument/2006/relationships/hyperlink" Target="../law/&#25010;&#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aw.judicial.gov.tw/FLAW/dat01.aspx?lsid=FL063897&amp;ot=in" TargetMode="External"/><Relationship Id="rId14" Type="http://schemas.openxmlformats.org/officeDocument/2006/relationships/hyperlink" Target="../law/&#27861;&#23448;&#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法官倫理規範</dc:title>
  <dc:creator>S-link 電子六法-黃婉玲</dc:creator>
  <cp:lastModifiedBy>黃 6laws</cp:lastModifiedBy>
  <cp:revision>12</cp:revision>
  <dcterms:created xsi:type="dcterms:W3CDTF">2016-09-03T10:17:00Z</dcterms:created>
  <dcterms:modified xsi:type="dcterms:W3CDTF">2024-09-03T07:27:00Z</dcterms:modified>
</cp:coreProperties>
</file>