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DDE8" w14:textId="77777777" w:rsidR="00647B1E" w:rsidRDefault="0091525B" w:rsidP="002C77D7">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152C1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5290CE05" w14:textId="7A1D8077" w:rsidR="00647B1E" w:rsidRDefault="00647B1E" w:rsidP="002C77D7">
      <w:pPr>
        <w:tabs>
          <w:tab w:val="left" w:pos="9498"/>
        </w:tabs>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B07672">
          <w:rPr>
            <w:rStyle w:val="a3"/>
            <w:sz w:val="18"/>
            <w:szCs w:val="20"/>
          </w:rPr>
          <w:t>更新</w:t>
        </w:r>
      </w:hyperlink>
      <w:r>
        <w:rPr>
          <w:rFonts w:hint="eastAsia"/>
          <w:color w:val="7F7F7F"/>
          <w:sz w:val="18"/>
          <w:szCs w:val="20"/>
          <w:lang w:val="zh-TW"/>
        </w:rPr>
        <w:t>】</w:t>
      </w:r>
      <w:r w:rsidR="00D45B7D" w:rsidRPr="00D45B7D">
        <w:rPr>
          <w:rFonts w:ascii="Arial Unicode MS" w:hAnsi="Arial Unicode MS"/>
          <w:color w:val="808000"/>
          <w:sz w:val="18"/>
          <w:szCs w:val="20"/>
        </w:rPr>
        <w:t>2021/11/20</w:t>
      </w:r>
      <w:r>
        <w:rPr>
          <w:rFonts w:hint="eastAsia"/>
          <w:color w:val="7F7F7F"/>
          <w:sz w:val="18"/>
          <w:szCs w:val="20"/>
          <w:lang w:val="zh-TW"/>
        </w:rPr>
        <w:t>【</w:t>
      </w:r>
      <w:hyperlink r:id="rId10" w:history="1">
        <w:r w:rsidRPr="00133E2B">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080966">
          <w:rPr>
            <w:rStyle w:val="a3"/>
            <w:sz w:val="18"/>
            <w:szCs w:val="20"/>
          </w:rPr>
          <w:t>黃婉玲</w:t>
        </w:r>
      </w:hyperlink>
    </w:p>
    <w:p w14:paraId="183C6D43" w14:textId="77777777" w:rsidR="00647B1E" w:rsidRDefault="00F70F0E" w:rsidP="00647B1E">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080966">
        <w:rPr>
          <w:rFonts w:hint="eastAsia"/>
          <w:color w:val="808000"/>
          <w:sz w:val="18"/>
          <w:szCs w:val="20"/>
        </w:rPr>
        <w:t>〉</w:t>
      </w:r>
      <w:r>
        <w:rPr>
          <w:rFonts w:hint="eastAsia"/>
          <w:color w:val="808000"/>
          <w:sz w:val="18"/>
          <w:szCs w:val="20"/>
        </w:rPr>
        <w:t>檢視</w:t>
      </w:r>
      <w:r>
        <w:rPr>
          <w:rFonts w:hint="eastAsia"/>
          <w:color w:val="808000"/>
          <w:sz w:val="18"/>
          <w:szCs w:val="20"/>
        </w:rPr>
        <w:t>--</w:t>
      </w:r>
      <w:r w:rsidR="00080966">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260"/>
        <w:gridCol w:w="5745"/>
        <w:gridCol w:w="3063"/>
      </w:tblGrid>
      <w:tr w:rsidR="00CF2D69" w:rsidRPr="00276AA4" w14:paraId="2EB65688" w14:textId="77777777" w:rsidTr="00080966">
        <w:trPr>
          <w:cantSplit/>
          <w:tblCellSpacing w:w="0" w:type="dxa"/>
        </w:trPr>
        <w:tc>
          <w:tcPr>
            <w:tcW w:w="626" w:type="pct"/>
            <w:tcBorders>
              <w:top w:val="nil"/>
              <w:left w:val="nil"/>
              <w:bottom w:val="nil"/>
              <w:right w:val="nil"/>
            </w:tcBorders>
            <w:shd w:val="clear" w:color="auto" w:fill="339966"/>
            <w:vAlign w:val="center"/>
          </w:tcPr>
          <w:p w14:paraId="613855D7" w14:textId="77777777" w:rsidR="00CF2D69" w:rsidRPr="00276AA4" w:rsidRDefault="00080966" w:rsidP="002C77D7">
            <w:pPr>
              <w:ind w:leftChars="-6" w:left="-12"/>
              <w:jc w:val="center"/>
              <w:rPr>
                <w:rFonts w:ascii="Arial Unicode MS" w:hAnsi="Arial Unicode MS"/>
                <w:b/>
                <w:bCs/>
                <w:color w:val="FFFFFF"/>
                <w:sz w:val="22"/>
              </w:rPr>
            </w:pPr>
            <w:r w:rsidRPr="00080966">
              <w:rPr>
                <w:rFonts w:ascii="Arial Unicode MS" w:hAnsi="Arial Unicode MS"/>
                <w:b/>
                <w:bCs/>
                <w:color w:val="FFFFFF"/>
                <w:sz w:val="18"/>
                <w:szCs w:val="20"/>
              </w:rPr>
              <w:t>法規名稱</w:t>
            </w:r>
          </w:p>
        </w:tc>
        <w:tc>
          <w:tcPr>
            <w:tcW w:w="2853" w:type="pct"/>
            <w:tcBorders>
              <w:top w:val="nil"/>
              <w:left w:val="nil"/>
              <w:bottom w:val="nil"/>
              <w:right w:val="nil"/>
            </w:tcBorders>
            <w:shd w:val="clear" w:color="auto" w:fill="F6FCF9"/>
            <w:vAlign w:val="center"/>
          </w:tcPr>
          <w:p w14:paraId="49420347" w14:textId="77777777" w:rsidR="00CF2D69" w:rsidRPr="00BF3FE4" w:rsidRDefault="00CA2B0C" w:rsidP="00BF3FE4">
            <w:pPr>
              <w:jc w:val="center"/>
              <w:rPr>
                <w:rFonts w:eastAsia="標楷體"/>
                <w:bCs/>
                <w:shadow/>
                <w:sz w:val="32"/>
              </w:rPr>
            </w:pPr>
            <w:r w:rsidRPr="00080966">
              <w:rPr>
                <w:rFonts w:eastAsia="標楷體" w:hint="eastAsia"/>
                <w:shadow/>
                <w:sz w:val="30"/>
              </w:rPr>
              <w:t>法院便民禮民實施要點</w:t>
            </w:r>
          </w:p>
        </w:tc>
        <w:tc>
          <w:tcPr>
            <w:tcW w:w="1521" w:type="pct"/>
            <w:tcBorders>
              <w:top w:val="nil"/>
              <w:left w:val="nil"/>
              <w:bottom w:val="nil"/>
              <w:right w:val="nil"/>
            </w:tcBorders>
            <w:shd w:val="clear" w:color="auto" w:fill="F6FCF9"/>
            <w:vAlign w:val="center"/>
          </w:tcPr>
          <w:p w14:paraId="0484A366" w14:textId="765AAD15" w:rsidR="00CF2D69" w:rsidRPr="00276AA4" w:rsidRDefault="00CF2D69">
            <w:pPr>
              <w:rPr>
                <w:rFonts w:ascii="Arial Unicode MS" w:hAnsi="Arial Unicode MS"/>
                <w:color w:val="000000"/>
              </w:rPr>
            </w:pPr>
            <w:r w:rsidRPr="00276AA4">
              <w:rPr>
                <w:rFonts w:ascii="Arial Unicode MS" w:hAnsi="Arial Unicode MS"/>
                <w:color w:val="000000"/>
              </w:rPr>
              <w:t>【</w:t>
            </w:r>
            <w:r w:rsidR="00D45B7D" w:rsidRPr="00D45B7D">
              <w:rPr>
                <w:rFonts w:ascii="Arial Unicode MS" w:hAnsi="Arial Unicode MS" w:hint="eastAsia"/>
                <w:color w:val="000000"/>
              </w:rPr>
              <w:t>發</w:t>
            </w:r>
            <w:r w:rsidRPr="00276AA4">
              <w:rPr>
                <w:rFonts w:ascii="Arial Unicode MS" w:hAnsi="Arial Unicode MS"/>
                <w:color w:val="000000"/>
              </w:rPr>
              <w:t>布日期】</w:t>
            </w:r>
            <w:r w:rsidR="002C77D7">
              <w:rPr>
                <w:rFonts w:ascii="Arial Unicode MS" w:hAnsi="Arial Unicode MS" w:hint="eastAsia"/>
              </w:rPr>
              <w:t>105.02.15</w:t>
            </w:r>
          </w:p>
          <w:p w14:paraId="6F7D230B" w14:textId="76C0CC7B" w:rsidR="00CF2D69" w:rsidRPr="00276AA4" w:rsidRDefault="00CF2D69" w:rsidP="007C61E0">
            <w:pPr>
              <w:rPr>
                <w:rFonts w:ascii="Arial Unicode MS" w:hAnsi="Arial Unicode MS"/>
              </w:rPr>
            </w:pPr>
            <w:r w:rsidRPr="00276AA4">
              <w:rPr>
                <w:rFonts w:ascii="Arial Unicode MS" w:hAnsi="Arial Unicode MS"/>
                <w:color w:val="000000"/>
              </w:rPr>
              <w:t>【</w:t>
            </w:r>
            <w:r w:rsidR="00D45B7D" w:rsidRPr="00D45B7D">
              <w:rPr>
                <w:rFonts w:ascii="Arial Unicode MS" w:hAnsi="Arial Unicode MS" w:hint="eastAsia"/>
                <w:color w:val="000000"/>
              </w:rPr>
              <w:t>發</w:t>
            </w:r>
            <w:r w:rsidRPr="00276AA4">
              <w:rPr>
                <w:rFonts w:ascii="Arial Unicode MS" w:hAnsi="Arial Unicode MS"/>
                <w:color w:val="000000"/>
              </w:rPr>
              <w:t>布機關】</w:t>
            </w:r>
            <w:hyperlink r:id="rId12" w:tgtFrame="_blank" w:history="1">
              <w:r w:rsidR="00255ADB" w:rsidRPr="00F56F73">
                <w:rPr>
                  <w:rStyle w:val="a3"/>
                  <w:sz w:val="18"/>
                </w:rPr>
                <w:t>司法院</w:t>
              </w:r>
            </w:hyperlink>
          </w:p>
        </w:tc>
      </w:tr>
    </w:tbl>
    <w:p w14:paraId="24226ADC" w14:textId="77777777" w:rsidR="00392D6B" w:rsidRPr="00276AA4" w:rsidRDefault="00CE29C1" w:rsidP="00CE29C1">
      <w:pPr>
        <w:jc w:val="center"/>
        <w:rPr>
          <w:rFonts w:ascii="Arial Unicode MS" w:hAnsi="Arial Unicode MS"/>
          <w:b/>
          <w:bCs/>
          <w:color w:val="800000"/>
        </w:rPr>
      </w:pPr>
      <w:r w:rsidRPr="007E576E">
        <w:rPr>
          <w:rFonts w:ascii="Arial Unicode MS" w:hAnsi="Arial Unicode MS" w:hint="eastAsia"/>
          <w:color w:val="FFFFFF"/>
          <w:sz w:val="18"/>
        </w:rPr>
        <w:t>‧</w:t>
      </w:r>
      <w:hyperlink r:id="rId13" w:anchor="法院便民禮民實施要點"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080966">
        <w:rPr>
          <w:rFonts w:ascii="Arial Unicode MS" w:hAnsi="Arial Unicode MS" w:hint="eastAsia"/>
          <w:b/>
          <w:color w:val="5F5F5F"/>
          <w:sz w:val="18"/>
        </w:rPr>
        <w:t>〉〉</w:t>
      </w:r>
      <w:hyperlink r:id="rId14" w:tgtFrame="_blank" w:history="1">
        <w:r w:rsidRPr="007E576E">
          <w:rPr>
            <w:rStyle w:val="a3"/>
            <w:rFonts w:hint="eastAsia"/>
            <w:sz w:val="18"/>
          </w:rPr>
          <w:t>線上網頁版</w:t>
        </w:r>
      </w:hyperlink>
      <w:r w:rsidR="00080966">
        <w:rPr>
          <w:rFonts w:ascii="Arial Unicode MS" w:hAnsi="Arial Unicode MS" w:hint="eastAsia"/>
          <w:b/>
          <w:color w:val="808000"/>
          <w:sz w:val="18"/>
          <w:szCs w:val="20"/>
        </w:rPr>
        <w:t>〉〉</w:t>
      </w:r>
      <w:hyperlink r:id="rId15" w:tgtFrame="_blank" w:history="1">
        <w:r w:rsidR="009C0E12" w:rsidRPr="0006797F">
          <w:rPr>
            <w:rStyle w:val="a3"/>
            <w:rFonts w:ascii="Arial Unicode MS" w:hAnsi="Arial Unicode MS" w:hint="eastAsia"/>
            <w:b/>
            <w:sz w:val="18"/>
          </w:rPr>
          <w:t>簡讀版</w:t>
        </w:r>
      </w:hyperlink>
    </w:p>
    <w:p w14:paraId="576A5063" w14:textId="77777777" w:rsidR="00CF2D69" w:rsidRPr="00201384" w:rsidRDefault="00CF2D69" w:rsidP="00201384">
      <w:pPr>
        <w:pStyle w:val="1"/>
        <w:snapToGrid w:val="0"/>
        <w:spacing w:before="100" w:beforeAutospacing="1" w:after="100" w:afterAutospacing="1"/>
        <w:textAlignment w:val="auto"/>
        <w:rPr>
          <w:color w:val="800000"/>
        </w:rPr>
      </w:pPr>
      <w:r w:rsidRPr="00201384">
        <w:rPr>
          <w:color w:val="800000"/>
        </w:rPr>
        <w:t>【</w:t>
      </w:r>
      <w:r w:rsidRPr="00201384">
        <w:rPr>
          <w:rFonts w:hint="eastAsia"/>
          <w:color w:val="800000"/>
        </w:rPr>
        <w:t>法規沿革</w:t>
      </w:r>
      <w:r w:rsidRPr="00201384">
        <w:rPr>
          <w:color w:val="800000"/>
        </w:rPr>
        <w:t>】</w:t>
      </w:r>
    </w:p>
    <w:p w14:paraId="249AD755" w14:textId="77777777" w:rsidR="00276AA4" w:rsidRPr="00E8049A" w:rsidRDefault="00276AA4" w:rsidP="002C77D7">
      <w:pPr>
        <w:ind w:leftChars="59" w:left="118"/>
        <w:jc w:val="both"/>
        <w:rPr>
          <w:rFonts w:ascii="Arial Unicode MS" w:hAnsi="Arial Unicode MS"/>
          <w:sz w:val="18"/>
        </w:rPr>
      </w:pPr>
      <w:r w:rsidRPr="00E8049A">
        <w:rPr>
          <w:rFonts w:ascii="Arial Unicode MS" w:hAnsi="Arial Unicode MS" w:hint="eastAsia"/>
          <w:b/>
          <w:sz w:val="18"/>
        </w:rPr>
        <w:t>1</w:t>
      </w:r>
      <w:r w:rsidR="009D2F51">
        <w:rPr>
          <w:rFonts w:ascii="Arial Unicode MS" w:hAnsi="Arial Unicode MS" w:hint="eastAsia"/>
          <w:b/>
          <w:sz w:val="18"/>
        </w:rPr>
        <w:t>‧</w:t>
      </w:r>
      <w:r w:rsidRPr="00E8049A">
        <w:rPr>
          <w:rFonts w:ascii="Arial Unicode MS" w:hAnsi="Arial Unicode MS" w:hint="eastAsia"/>
          <w:sz w:val="18"/>
        </w:rPr>
        <w:t>中華民國七十六年九月十一日司法院</w:t>
      </w:r>
      <w:r w:rsidR="00626245">
        <w:rPr>
          <w:rFonts w:ascii="Arial Unicode MS" w:hAnsi="Arial Unicode MS" w:hint="eastAsia"/>
          <w:sz w:val="18"/>
        </w:rPr>
        <w:t>（</w:t>
      </w:r>
      <w:r w:rsidRPr="00E8049A">
        <w:rPr>
          <w:rFonts w:ascii="Arial Unicode MS" w:hAnsi="Arial Unicode MS" w:hint="eastAsia"/>
          <w:sz w:val="18"/>
        </w:rPr>
        <w:t>76</w:t>
      </w:r>
      <w:r w:rsidR="00626245">
        <w:rPr>
          <w:rFonts w:ascii="Arial Unicode MS" w:hAnsi="Arial Unicode MS" w:hint="eastAsia"/>
          <w:sz w:val="18"/>
        </w:rPr>
        <w:t>）</w:t>
      </w:r>
      <w:r w:rsidRPr="00E8049A">
        <w:rPr>
          <w:rFonts w:ascii="Arial Unicode MS" w:hAnsi="Arial Unicode MS" w:hint="eastAsia"/>
          <w:sz w:val="18"/>
        </w:rPr>
        <w:t>院台廳四字第</w:t>
      </w:r>
      <w:r w:rsidRPr="00E8049A">
        <w:rPr>
          <w:rFonts w:ascii="Arial Unicode MS" w:hAnsi="Arial Unicode MS" w:hint="eastAsia"/>
          <w:sz w:val="18"/>
        </w:rPr>
        <w:t>05448</w:t>
      </w:r>
      <w:r w:rsidRPr="00E8049A">
        <w:rPr>
          <w:rFonts w:ascii="Arial Unicode MS" w:hAnsi="Arial Unicode MS" w:hint="eastAsia"/>
          <w:sz w:val="18"/>
        </w:rPr>
        <w:t>號函訂定發布</w:t>
      </w:r>
    </w:p>
    <w:p w14:paraId="6343AAE6" w14:textId="77777777" w:rsidR="00276AA4" w:rsidRPr="00E8049A" w:rsidRDefault="00276AA4" w:rsidP="002C77D7">
      <w:pPr>
        <w:ind w:leftChars="59" w:left="118"/>
        <w:jc w:val="both"/>
        <w:rPr>
          <w:rFonts w:ascii="Arial Unicode MS" w:hAnsi="Arial Unicode MS"/>
          <w:sz w:val="18"/>
        </w:rPr>
      </w:pPr>
      <w:r w:rsidRPr="00E8049A">
        <w:rPr>
          <w:rFonts w:ascii="Arial Unicode MS" w:hAnsi="Arial Unicode MS" w:hint="eastAsia"/>
          <w:b/>
          <w:sz w:val="18"/>
        </w:rPr>
        <w:t>2</w:t>
      </w:r>
      <w:r w:rsidR="009D2F51">
        <w:rPr>
          <w:rFonts w:ascii="Arial Unicode MS" w:hAnsi="Arial Unicode MS" w:hint="eastAsia"/>
          <w:b/>
          <w:sz w:val="18"/>
        </w:rPr>
        <w:t>‧</w:t>
      </w:r>
      <w:r w:rsidRPr="00E8049A">
        <w:rPr>
          <w:rFonts w:ascii="Arial Unicode MS" w:hAnsi="Arial Unicode MS" w:hint="eastAsia"/>
          <w:sz w:val="18"/>
        </w:rPr>
        <w:t>中華民國八十七年八月二十八日司法院</w:t>
      </w:r>
      <w:r w:rsidR="00626245">
        <w:rPr>
          <w:rFonts w:ascii="Arial Unicode MS" w:hAnsi="Arial Unicode MS" w:hint="eastAsia"/>
          <w:sz w:val="18"/>
        </w:rPr>
        <w:t>（</w:t>
      </w:r>
      <w:r w:rsidRPr="00E8049A">
        <w:rPr>
          <w:rFonts w:ascii="Arial Unicode MS" w:hAnsi="Arial Unicode MS" w:hint="eastAsia"/>
          <w:sz w:val="18"/>
        </w:rPr>
        <w:t>87</w:t>
      </w:r>
      <w:r w:rsidR="00626245">
        <w:rPr>
          <w:rFonts w:ascii="Arial Unicode MS" w:hAnsi="Arial Unicode MS" w:hint="eastAsia"/>
          <w:sz w:val="18"/>
        </w:rPr>
        <w:t>）</w:t>
      </w:r>
      <w:r w:rsidRPr="00E8049A">
        <w:rPr>
          <w:rFonts w:ascii="Arial Unicode MS" w:hAnsi="Arial Unicode MS" w:hint="eastAsia"/>
          <w:sz w:val="18"/>
        </w:rPr>
        <w:t>院台廳司四字第</w:t>
      </w:r>
      <w:r w:rsidRPr="00E8049A">
        <w:rPr>
          <w:rFonts w:ascii="Arial Unicode MS" w:hAnsi="Arial Unicode MS" w:hint="eastAsia"/>
          <w:sz w:val="18"/>
        </w:rPr>
        <w:t>19648</w:t>
      </w:r>
      <w:r w:rsidRPr="00E8049A">
        <w:rPr>
          <w:rFonts w:ascii="Arial Unicode MS" w:hAnsi="Arial Unicode MS" w:hint="eastAsia"/>
          <w:sz w:val="18"/>
        </w:rPr>
        <w:t>號函修正發布</w:t>
      </w:r>
    </w:p>
    <w:p w14:paraId="36001D49" w14:textId="77777777" w:rsidR="00276AA4" w:rsidRPr="00E8049A" w:rsidRDefault="00276AA4" w:rsidP="002C77D7">
      <w:pPr>
        <w:ind w:leftChars="59" w:left="118"/>
        <w:jc w:val="both"/>
        <w:rPr>
          <w:rFonts w:ascii="Arial Unicode MS" w:hAnsi="Arial Unicode MS"/>
          <w:sz w:val="18"/>
        </w:rPr>
      </w:pPr>
      <w:r w:rsidRPr="00E8049A">
        <w:rPr>
          <w:rFonts w:ascii="Arial Unicode MS" w:hAnsi="Arial Unicode MS" w:hint="eastAsia"/>
          <w:b/>
          <w:sz w:val="18"/>
        </w:rPr>
        <w:t>3</w:t>
      </w:r>
      <w:r w:rsidR="009D2F51">
        <w:rPr>
          <w:rFonts w:ascii="Arial Unicode MS" w:hAnsi="Arial Unicode MS" w:hint="eastAsia"/>
          <w:b/>
          <w:sz w:val="18"/>
        </w:rPr>
        <w:t>‧</w:t>
      </w:r>
      <w:r w:rsidRPr="00E8049A">
        <w:rPr>
          <w:rFonts w:ascii="Arial Unicode MS" w:hAnsi="Arial Unicode MS" w:hint="eastAsia"/>
          <w:sz w:val="18"/>
        </w:rPr>
        <w:t>中華民國九十年四月九日司法院</w:t>
      </w:r>
      <w:r w:rsidR="00626245">
        <w:rPr>
          <w:rFonts w:ascii="Arial Unicode MS" w:hAnsi="Arial Unicode MS" w:hint="eastAsia"/>
          <w:sz w:val="18"/>
        </w:rPr>
        <w:t>（</w:t>
      </w:r>
      <w:r w:rsidRPr="00E8049A">
        <w:rPr>
          <w:rFonts w:ascii="Arial Unicode MS" w:hAnsi="Arial Unicode MS" w:hint="eastAsia"/>
          <w:sz w:val="18"/>
        </w:rPr>
        <w:t>90</w:t>
      </w:r>
      <w:r w:rsidR="00626245">
        <w:rPr>
          <w:rFonts w:ascii="Arial Unicode MS" w:hAnsi="Arial Unicode MS" w:hint="eastAsia"/>
          <w:sz w:val="18"/>
        </w:rPr>
        <w:t>）</w:t>
      </w:r>
      <w:r w:rsidRPr="00E8049A">
        <w:rPr>
          <w:rFonts w:ascii="Arial Unicode MS" w:hAnsi="Arial Unicode MS" w:hint="eastAsia"/>
          <w:sz w:val="18"/>
        </w:rPr>
        <w:t>院台廳司四字第</w:t>
      </w:r>
      <w:r w:rsidRPr="00E8049A">
        <w:rPr>
          <w:rFonts w:ascii="Arial Unicode MS" w:hAnsi="Arial Unicode MS" w:hint="eastAsia"/>
          <w:sz w:val="18"/>
        </w:rPr>
        <w:t>08762</w:t>
      </w:r>
      <w:r w:rsidRPr="00E8049A">
        <w:rPr>
          <w:rFonts w:ascii="Arial Unicode MS" w:hAnsi="Arial Unicode MS" w:hint="eastAsia"/>
          <w:sz w:val="18"/>
        </w:rPr>
        <w:t>號函修發布第</w:t>
      </w:r>
      <w:r w:rsidRPr="00E8049A">
        <w:rPr>
          <w:rFonts w:ascii="Arial Unicode MS" w:hAnsi="Arial Unicode MS" w:hint="eastAsia"/>
          <w:sz w:val="18"/>
        </w:rPr>
        <w:t>24</w:t>
      </w:r>
      <w:r w:rsidRPr="00E8049A">
        <w:rPr>
          <w:rFonts w:ascii="Arial Unicode MS" w:hAnsi="Arial Unicode MS" w:hint="eastAsia"/>
          <w:sz w:val="18"/>
        </w:rPr>
        <w:t>點條文</w:t>
      </w:r>
    </w:p>
    <w:p w14:paraId="3D704A4B" w14:textId="77777777" w:rsidR="00276AA4" w:rsidRPr="003979A0" w:rsidRDefault="00276AA4" w:rsidP="003979A0">
      <w:pPr>
        <w:adjustRightInd w:val="0"/>
        <w:ind w:leftChars="71" w:left="142"/>
        <w:jc w:val="both"/>
        <w:textAlignment w:val="baseline"/>
        <w:rPr>
          <w:rFonts w:ascii="Arial Unicode MS" w:hAnsi="Arial Unicode MS"/>
          <w:sz w:val="18"/>
        </w:rPr>
      </w:pPr>
      <w:r w:rsidRPr="00E8049A">
        <w:rPr>
          <w:rFonts w:ascii="Arial Unicode MS" w:hAnsi="Arial Unicode MS" w:hint="eastAsia"/>
          <w:b/>
          <w:sz w:val="18"/>
        </w:rPr>
        <w:t>4</w:t>
      </w:r>
      <w:r w:rsidR="009D2F51">
        <w:rPr>
          <w:rFonts w:ascii="Arial Unicode MS" w:hAnsi="Arial Unicode MS" w:hint="eastAsia"/>
          <w:b/>
          <w:sz w:val="18"/>
        </w:rPr>
        <w:t>‧</w:t>
      </w:r>
      <w:r w:rsidRPr="00E8049A">
        <w:rPr>
          <w:rFonts w:ascii="Arial Unicode MS" w:hAnsi="Arial Unicode MS" w:hint="eastAsia"/>
          <w:sz w:val="18"/>
        </w:rPr>
        <w:t>中華民國九十二年十一月二十六日司法院</w:t>
      </w:r>
      <w:r w:rsidR="00626245">
        <w:rPr>
          <w:rFonts w:ascii="Arial Unicode MS" w:hAnsi="Arial Unicode MS" w:hint="eastAsia"/>
          <w:sz w:val="18"/>
        </w:rPr>
        <w:t>（</w:t>
      </w:r>
      <w:r w:rsidR="00626245">
        <w:rPr>
          <w:rFonts w:ascii="Arial Unicode MS" w:hAnsi="Arial Unicode MS" w:hint="eastAsia"/>
          <w:sz w:val="18"/>
        </w:rPr>
        <w:t>92</w:t>
      </w:r>
      <w:r w:rsidR="00626245">
        <w:rPr>
          <w:rFonts w:ascii="Arial Unicode MS" w:hAnsi="Arial Unicode MS" w:hint="eastAsia"/>
          <w:sz w:val="18"/>
        </w:rPr>
        <w:t>）</w:t>
      </w:r>
      <w:r w:rsidRPr="00E8049A">
        <w:rPr>
          <w:rFonts w:ascii="Arial Unicode MS" w:hAnsi="Arial Unicode MS" w:hint="eastAsia"/>
          <w:sz w:val="18"/>
        </w:rPr>
        <w:t>院台廳司四字第</w:t>
      </w:r>
      <w:r w:rsidRPr="00E8049A">
        <w:rPr>
          <w:rFonts w:ascii="Arial Unicode MS" w:hAnsi="Arial Unicode MS" w:hint="eastAsia"/>
          <w:sz w:val="18"/>
        </w:rPr>
        <w:t>29803</w:t>
      </w:r>
      <w:r w:rsidRPr="00E8049A">
        <w:rPr>
          <w:rFonts w:ascii="Arial Unicode MS" w:hAnsi="Arial Unicode MS" w:hint="eastAsia"/>
          <w:sz w:val="18"/>
        </w:rPr>
        <w:t>號令修正發布第</w:t>
      </w:r>
      <w:r w:rsidRPr="00E8049A">
        <w:rPr>
          <w:rFonts w:ascii="Arial Unicode MS" w:hAnsi="Arial Unicode MS" w:hint="eastAsia"/>
          <w:sz w:val="18"/>
        </w:rPr>
        <w:t>17</w:t>
      </w:r>
      <w:r w:rsidRPr="00E8049A">
        <w:rPr>
          <w:rFonts w:ascii="Arial Unicode MS" w:hAnsi="Arial Unicode MS" w:hint="eastAsia"/>
          <w:sz w:val="18"/>
        </w:rPr>
        <w:t>、</w:t>
      </w:r>
      <w:r w:rsidRPr="00E8049A">
        <w:rPr>
          <w:rFonts w:ascii="Arial Unicode MS" w:hAnsi="Arial Unicode MS" w:hint="eastAsia"/>
          <w:sz w:val="18"/>
        </w:rPr>
        <w:t>34</w:t>
      </w:r>
      <w:r w:rsidRPr="00E8049A">
        <w:rPr>
          <w:rFonts w:ascii="Arial Unicode MS" w:hAnsi="Arial Unicode MS" w:hint="eastAsia"/>
          <w:sz w:val="18"/>
        </w:rPr>
        <w:t>點條文；並自下達日實施</w:t>
      </w:r>
      <w:r w:rsidR="003979A0" w:rsidRPr="003979A0">
        <w:t>【</w:t>
      </w:r>
      <w:hyperlink w:anchor="_:::民國九十二年十一月二十六日公布條文:::" w:history="1">
        <w:r w:rsidR="003979A0" w:rsidRPr="003979A0">
          <w:rPr>
            <w:rStyle w:val="a3"/>
            <w:rFonts w:ascii="Arial Unicode MS" w:hAnsi="Arial Unicode MS" w:hint="eastAsia"/>
            <w:sz w:val="18"/>
            <w:szCs w:val="20"/>
          </w:rPr>
          <w:t>原條文</w:t>
        </w:r>
      </w:hyperlink>
      <w:r w:rsidR="003979A0" w:rsidRPr="003979A0">
        <w:rPr>
          <w:rFonts w:ascii="Arial Unicode MS" w:hAnsi="Arial Unicode MS" w:hint="eastAsia"/>
        </w:rPr>
        <w:t>】</w:t>
      </w:r>
    </w:p>
    <w:p w14:paraId="17DEF1BF" w14:textId="77777777" w:rsidR="000B028F" w:rsidRPr="00E8049A" w:rsidRDefault="000B028F" w:rsidP="002C77D7">
      <w:pPr>
        <w:ind w:leftChars="59" w:left="118"/>
        <w:jc w:val="both"/>
        <w:rPr>
          <w:rFonts w:ascii="Arial Unicode MS" w:hAnsi="Arial Unicode MS"/>
          <w:sz w:val="18"/>
        </w:rPr>
      </w:pPr>
      <w:r w:rsidRPr="000B028F">
        <w:rPr>
          <w:rFonts w:ascii="Arial Unicode MS" w:hAnsi="Arial Unicode MS" w:hint="eastAsia"/>
          <w:b/>
          <w:sz w:val="18"/>
        </w:rPr>
        <w:t>5</w:t>
      </w:r>
      <w:r w:rsidRPr="000B028F">
        <w:rPr>
          <w:rFonts w:ascii="Arial Unicode MS" w:hAnsi="Arial Unicode MS" w:hint="eastAsia"/>
          <w:b/>
          <w:sz w:val="18"/>
        </w:rPr>
        <w:t>‧</w:t>
      </w:r>
      <w:r w:rsidRPr="000B028F">
        <w:rPr>
          <w:rFonts w:ascii="Arial Unicode MS" w:hAnsi="Arial Unicode MS" w:hint="eastAsia"/>
          <w:sz w:val="18"/>
        </w:rPr>
        <w:t>中華民國一百零五年二月十五日司法院院台廳司四字第</w:t>
      </w:r>
      <w:r w:rsidRPr="000B028F">
        <w:rPr>
          <w:rFonts w:ascii="Arial Unicode MS" w:hAnsi="Arial Unicode MS" w:hint="eastAsia"/>
          <w:sz w:val="18"/>
        </w:rPr>
        <w:t>1050004348</w:t>
      </w:r>
      <w:r w:rsidRPr="000B028F">
        <w:rPr>
          <w:rFonts w:ascii="Arial Unicode MS" w:hAnsi="Arial Unicode MS" w:hint="eastAsia"/>
          <w:sz w:val="18"/>
        </w:rPr>
        <w:t>號令修正發布全文</w:t>
      </w:r>
      <w:r w:rsidRPr="000B028F">
        <w:rPr>
          <w:rFonts w:ascii="Arial Unicode MS" w:hAnsi="Arial Unicode MS" w:hint="eastAsia"/>
          <w:sz w:val="18"/>
        </w:rPr>
        <w:t>33</w:t>
      </w:r>
      <w:r w:rsidRPr="000B028F">
        <w:rPr>
          <w:rFonts w:ascii="Arial Unicode MS" w:hAnsi="Arial Unicode MS" w:hint="eastAsia"/>
          <w:sz w:val="18"/>
        </w:rPr>
        <w:t>點；並自即日生效</w:t>
      </w:r>
    </w:p>
    <w:p w14:paraId="5EECDF56" w14:textId="77777777" w:rsidR="00A72615" w:rsidRPr="00D45B7D" w:rsidRDefault="00A72615" w:rsidP="00E64725">
      <w:pPr>
        <w:jc w:val="both"/>
        <w:rPr>
          <w:rFonts w:ascii="Arial Unicode MS" w:hAnsi="Arial Unicode MS"/>
          <w:b/>
          <w:bCs/>
          <w:color w:val="800000"/>
        </w:rPr>
      </w:pPr>
    </w:p>
    <w:p w14:paraId="4040D3DD" w14:textId="73B49337" w:rsidR="002C77D7" w:rsidRDefault="00D45B7D" w:rsidP="002C77D7">
      <w:pPr>
        <w:pStyle w:val="1"/>
        <w:snapToGrid w:val="0"/>
        <w:spacing w:before="100" w:beforeAutospacing="1" w:after="100" w:afterAutospacing="1"/>
        <w:textAlignment w:val="auto"/>
        <w:rPr>
          <w:color w:val="990000"/>
        </w:rPr>
      </w:pPr>
      <w:r>
        <w:rPr>
          <w:color w:val="990000"/>
        </w:rPr>
        <w:t>【法規內容】</w:t>
      </w:r>
    </w:p>
    <w:p w14:paraId="3885F7CD" w14:textId="77777777" w:rsidR="00D45B7D" w:rsidRDefault="002C77D7" w:rsidP="002C77D7">
      <w:pPr>
        <w:pStyle w:val="2"/>
      </w:pPr>
      <w:r>
        <w:t>第</w:t>
      </w:r>
      <w:r>
        <w:t>1</w:t>
      </w:r>
      <w:r w:rsidR="00D45B7D">
        <w:t>點</w:t>
      </w:r>
    </w:p>
    <w:p w14:paraId="07C31180" w14:textId="1454035A"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司法院為革新司法，提升司法形象，達到便民禮民之目的，特訂定本要點。</w:t>
      </w:r>
    </w:p>
    <w:p w14:paraId="13640D2A" w14:textId="77777777" w:rsidR="00D45B7D" w:rsidRDefault="002C77D7" w:rsidP="002C77D7">
      <w:pPr>
        <w:pStyle w:val="2"/>
      </w:pPr>
      <w:r>
        <w:t>第</w:t>
      </w:r>
      <w:r>
        <w:t>2</w:t>
      </w:r>
      <w:r w:rsidR="00D45B7D">
        <w:t>點</w:t>
      </w:r>
    </w:p>
    <w:p w14:paraId="2A887BF9" w14:textId="6ED7985B" w:rsidR="00D45B7D"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法院應於交通要衢設置法院指標</w:t>
      </w:r>
      <w:r>
        <w:t>。</w:t>
      </w:r>
    </w:p>
    <w:p w14:paraId="731833BE" w14:textId="093409D8" w:rsidR="002C77D7" w:rsidRPr="00D57F5F" w:rsidRDefault="00D45B7D" w:rsidP="002C77D7">
      <w:pPr>
        <w:rPr>
          <w:color w:val="17365D"/>
        </w:rPr>
      </w:pPr>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2</w:t>
      </w:r>
      <w:r w:rsidRPr="00D45B7D">
        <w:rPr>
          <w:rFonts w:asciiTheme="minorHAnsi" w:hAnsiTheme="minorHAnsi"/>
          <w:color w:val="404040" w:themeColor="text1" w:themeTint="BF"/>
          <w:sz w:val="18"/>
        </w:rPr>
        <w:t>﹞</w:t>
      </w:r>
      <w:r w:rsidR="002C77D7" w:rsidRPr="00D57F5F">
        <w:rPr>
          <w:color w:val="17365D"/>
        </w:rPr>
        <w:t>法院通知書、傳票上應詳載法院網址及訴訟輔導科電話；信封應載明法院地址、位置圖、可搭乘之大眾運輸工具及路線。</w:t>
      </w:r>
    </w:p>
    <w:p w14:paraId="200364C9" w14:textId="77777777" w:rsidR="00D45B7D" w:rsidRDefault="002C77D7" w:rsidP="002C77D7">
      <w:pPr>
        <w:pStyle w:val="2"/>
      </w:pPr>
      <w:r>
        <w:t>第</w:t>
      </w:r>
      <w:r>
        <w:t>3</w:t>
      </w:r>
      <w:r w:rsidR="00D45B7D">
        <w:t>點</w:t>
      </w:r>
    </w:p>
    <w:p w14:paraId="6A367DA4" w14:textId="0B2AD0A8"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法院應依規定設置親子廁所盥洗室、無障礙設備及設施。</w:t>
      </w:r>
    </w:p>
    <w:p w14:paraId="738CE387" w14:textId="77777777" w:rsidR="00D45B7D" w:rsidRDefault="002C77D7" w:rsidP="002C77D7">
      <w:pPr>
        <w:pStyle w:val="2"/>
      </w:pPr>
      <w:r>
        <w:t>第</w:t>
      </w:r>
      <w:r>
        <w:t>4</w:t>
      </w:r>
      <w:r w:rsidR="00D45B7D">
        <w:t>點</w:t>
      </w:r>
    </w:p>
    <w:p w14:paraId="6CF995BC" w14:textId="653E31C8"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法院宜在大門入口明顯處所設服務台，並應於適當處所設置法庭及辦公室等平面配置圖及引導指標。</w:t>
      </w:r>
    </w:p>
    <w:p w14:paraId="51B83E10" w14:textId="77777777" w:rsidR="00D45B7D" w:rsidRDefault="002C77D7" w:rsidP="002C77D7">
      <w:pPr>
        <w:pStyle w:val="2"/>
      </w:pPr>
      <w:r>
        <w:t>第</w:t>
      </w:r>
      <w:r>
        <w:t>5</w:t>
      </w:r>
      <w:r w:rsidR="00D45B7D">
        <w:t>點</w:t>
      </w:r>
    </w:p>
    <w:p w14:paraId="2BA1DBA8" w14:textId="3CDDD7F5" w:rsidR="00D45B7D"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法院宜設置單一窗口聯合服務中心，以利行政服務一元化及電腦化，俾提高服務品質及效率</w:t>
      </w:r>
      <w:r>
        <w:t>。</w:t>
      </w:r>
    </w:p>
    <w:p w14:paraId="08B062DC" w14:textId="3AFD64E3" w:rsidR="00D45B7D"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2</w:t>
      </w:r>
      <w:r w:rsidRPr="00D45B7D">
        <w:rPr>
          <w:rFonts w:asciiTheme="minorHAnsi" w:hAnsiTheme="minorHAnsi"/>
          <w:color w:val="404040" w:themeColor="text1" w:themeTint="BF"/>
          <w:sz w:val="18"/>
        </w:rPr>
        <w:t>﹞</w:t>
      </w:r>
      <w:r w:rsidRPr="00D57F5F">
        <w:rPr>
          <w:color w:val="17365D"/>
        </w:rPr>
        <w:t>單一窗口聯合服務中心午休時間不休息</w:t>
      </w:r>
      <w:r>
        <w:t>。</w:t>
      </w:r>
    </w:p>
    <w:p w14:paraId="40A654E2" w14:textId="0A6EDE5D" w:rsidR="00D45B7D"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3</w:t>
      </w:r>
      <w:r w:rsidRPr="00D45B7D">
        <w:rPr>
          <w:rFonts w:asciiTheme="minorHAnsi" w:hAnsiTheme="minorHAnsi"/>
          <w:color w:val="404040" w:themeColor="text1" w:themeTint="BF"/>
          <w:sz w:val="18"/>
        </w:rPr>
        <w:t>﹞</w:t>
      </w:r>
      <w:r>
        <w:t>單一窗口聯合服務中心櫃檯工作人員應備置職稱名牌。</w:t>
      </w:r>
    </w:p>
    <w:p w14:paraId="1E2DFA38" w14:textId="7918FBF4" w:rsidR="002C77D7" w:rsidRPr="00D57F5F" w:rsidRDefault="00D45B7D" w:rsidP="002C77D7">
      <w:pPr>
        <w:rPr>
          <w:color w:val="17365D"/>
        </w:rPr>
      </w:pPr>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4</w:t>
      </w:r>
      <w:r w:rsidRPr="00D45B7D">
        <w:rPr>
          <w:rFonts w:asciiTheme="minorHAnsi" w:hAnsiTheme="minorHAnsi"/>
          <w:color w:val="404040" w:themeColor="text1" w:themeTint="BF"/>
          <w:sz w:val="18"/>
        </w:rPr>
        <w:t>﹞</w:t>
      </w:r>
      <w:r w:rsidR="002C77D7" w:rsidRPr="00D57F5F">
        <w:rPr>
          <w:color w:val="17365D"/>
        </w:rPr>
        <w:t>法院應於明顯處或單一窗口聯合服務中心設意見箱，並備置反應表，供民眾填寫。</w:t>
      </w:r>
    </w:p>
    <w:p w14:paraId="46159A98" w14:textId="77777777" w:rsidR="00D45B7D" w:rsidRDefault="002C77D7" w:rsidP="002C77D7">
      <w:pPr>
        <w:pStyle w:val="2"/>
      </w:pPr>
      <w:r>
        <w:t>第</w:t>
      </w:r>
      <w:r>
        <w:t>6</w:t>
      </w:r>
      <w:r w:rsidR="00D45B7D">
        <w:t>點</w:t>
      </w:r>
    </w:p>
    <w:p w14:paraId="4054C7A5" w14:textId="150C34E6"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訴訟輔導科工作人員應指派績優，具服務熱忱及溝通協調能力，並富有紀錄、審查或辦理強制執行案件經驗之人員擔任。</w:t>
      </w:r>
    </w:p>
    <w:p w14:paraId="7D730E90" w14:textId="77777777" w:rsidR="00D45B7D" w:rsidRDefault="002C77D7" w:rsidP="002C77D7">
      <w:pPr>
        <w:pStyle w:val="2"/>
      </w:pPr>
      <w:r>
        <w:t>第</w:t>
      </w:r>
      <w:r>
        <w:t>7</w:t>
      </w:r>
      <w:r w:rsidR="00D45B7D">
        <w:t>點</w:t>
      </w:r>
    </w:p>
    <w:p w14:paraId="20071A58" w14:textId="40339F9C"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訴訟輔導科應備置下列資料供民眾取閱：</w:t>
      </w:r>
    </w:p>
    <w:p w14:paraId="48720E54" w14:textId="77777777" w:rsidR="00D45B7D" w:rsidRDefault="002C77D7" w:rsidP="002C77D7">
      <w:r>
        <w:t xml:space="preserve">　　（一）各種書狀範例</w:t>
      </w:r>
      <w:r w:rsidR="00D45B7D">
        <w:t>。</w:t>
      </w:r>
    </w:p>
    <w:p w14:paraId="0160DFC6" w14:textId="69A7C4CD" w:rsidR="00D45B7D" w:rsidRDefault="00D45B7D" w:rsidP="002C77D7">
      <w:r>
        <w:lastRenderedPageBreak/>
        <w:t xml:space="preserve">　　（</w:t>
      </w:r>
      <w:r w:rsidR="002C77D7">
        <w:t>二）各項須知</w:t>
      </w:r>
      <w:r>
        <w:t>。</w:t>
      </w:r>
    </w:p>
    <w:p w14:paraId="3D165749" w14:textId="7FF1469E" w:rsidR="00D45B7D" w:rsidRDefault="00D45B7D" w:rsidP="002C77D7">
      <w:r>
        <w:t xml:space="preserve">　　（</w:t>
      </w:r>
      <w:r w:rsidR="002C77D7">
        <w:t>三）律師名錄</w:t>
      </w:r>
      <w:r>
        <w:t>。</w:t>
      </w:r>
    </w:p>
    <w:p w14:paraId="66876EAF" w14:textId="36122DD6" w:rsidR="00D45B7D" w:rsidRDefault="00D45B7D" w:rsidP="002C77D7">
      <w:r>
        <w:t xml:space="preserve">　　（</w:t>
      </w:r>
      <w:r w:rsidR="002C77D7">
        <w:t>四）使用通譯聲請書</w:t>
      </w:r>
      <w:r>
        <w:t>。</w:t>
      </w:r>
    </w:p>
    <w:p w14:paraId="4F95C0F6" w14:textId="1775FE12" w:rsidR="00D45B7D" w:rsidRDefault="00D45B7D" w:rsidP="002C77D7">
      <w:r>
        <w:t xml:space="preserve">　　（</w:t>
      </w:r>
      <w:r w:rsidR="002C77D7">
        <w:t>五）法律常識、法律扶助等宣導刊物</w:t>
      </w:r>
      <w:r>
        <w:t>。</w:t>
      </w:r>
    </w:p>
    <w:p w14:paraId="1D4200D1" w14:textId="460783B1" w:rsidR="002C77D7" w:rsidRDefault="00D45B7D" w:rsidP="002C77D7">
      <w:r>
        <w:t xml:space="preserve">　　（</w:t>
      </w:r>
      <w:r w:rsidR="002C77D7">
        <w:t>六）其他相關資訊。</w:t>
      </w:r>
    </w:p>
    <w:p w14:paraId="4F640CEF" w14:textId="77777777" w:rsidR="00D45B7D" w:rsidRDefault="002C77D7" w:rsidP="002C77D7">
      <w:pPr>
        <w:pStyle w:val="2"/>
      </w:pPr>
      <w:r>
        <w:t>第</w:t>
      </w:r>
      <w:r>
        <w:t>8</w:t>
      </w:r>
      <w:r w:rsidR="00D45B7D">
        <w:t>點</w:t>
      </w:r>
    </w:p>
    <w:p w14:paraId="5A02CEA7" w14:textId="41946517" w:rsidR="00D45B7D"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訴訟輔導科應於明顯處所設置科技設備，提供查詢服務，並為必要之協助</w:t>
      </w:r>
      <w:r>
        <w:t>。</w:t>
      </w:r>
    </w:p>
    <w:p w14:paraId="579F9C23" w14:textId="53059071" w:rsidR="00D45B7D"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2</w:t>
      </w:r>
      <w:r w:rsidRPr="00D45B7D">
        <w:rPr>
          <w:rFonts w:asciiTheme="minorHAnsi" w:hAnsiTheme="minorHAnsi"/>
          <w:color w:val="404040" w:themeColor="text1" w:themeTint="BF"/>
          <w:sz w:val="18"/>
        </w:rPr>
        <w:t>﹞</w:t>
      </w:r>
      <w:r w:rsidRPr="00D57F5F">
        <w:rPr>
          <w:color w:val="17365D"/>
        </w:rPr>
        <w:t>判決主文宣示後，應即輸入電腦，俾便民眾查詢；輸入逾二個月者，得予刪除</w:t>
      </w:r>
      <w:r>
        <w:t>。</w:t>
      </w:r>
    </w:p>
    <w:p w14:paraId="78D1B58F" w14:textId="6A10C7C3"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3</w:t>
      </w:r>
      <w:r w:rsidRPr="00D45B7D">
        <w:rPr>
          <w:rFonts w:asciiTheme="minorHAnsi" w:hAnsiTheme="minorHAnsi"/>
          <w:color w:val="404040" w:themeColor="text1" w:themeTint="BF"/>
          <w:sz w:val="18"/>
        </w:rPr>
        <w:t>﹞</w:t>
      </w:r>
      <w:r w:rsidR="002C77D7">
        <w:t>前項規定研考人員應不定期抽查之。</w:t>
      </w:r>
    </w:p>
    <w:p w14:paraId="5DB7D5EC" w14:textId="77777777" w:rsidR="00D45B7D" w:rsidRDefault="002C77D7" w:rsidP="002C77D7">
      <w:pPr>
        <w:pStyle w:val="2"/>
      </w:pPr>
      <w:r>
        <w:t>第</w:t>
      </w:r>
      <w:r>
        <w:t>9</w:t>
      </w:r>
      <w:r w:rsidR="00D45B7D">
        <w:t>點</w:t>
      </w:r>
    </w:p>
    <w:p w14:paraId="4BC96D28" w14:textId="06BF7284"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判決主文公告欄宜明確標示「主文公告逾五日，在本公告欄查閱無著者，可至訴訟輔導科查詢」。</w:t>
      </w:r>
    </w:p>
    <w:p w14:paraId="3EABEC23" w14:textId="77777777" w:rsidR="00D45B7D" w:rsidRDefault="002C77D7" w:rsidP="002C77D7">
      <w:pPr>
        <w:pStyle w:val="2"/>
      </w:pPr>
      <w:r>
        <w:t>第</w:t>
      </w:r>
      <w:r>
        <w:t>10</w:t>
      </w:r>
      <w:r w:rsidR="00D45B7D">
        <w:t>點</w:t>
      </w:r>
    </w:p>
    <w:p w14:paraId="43AFF98F" w14:textId="19229F6B" w:rsidR="00D45B7D"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法院宜分別設置當事人、證人（鑑定人）及律師（訴訟代理人）等休息空間，內置各法庭開庭號次顯示器、飲水設備，並提供法治教育宣導資料</w:t>
      </w:r>
      <w:r>
        <w:t>。</w:t>
      </w:r>
    </w:p>
    <w:p w14:paraId="4D41F5D1" w14:textId="19323206" w:rsidR="002C77D7" w:rsidRPr="00D57F5F" w:rsidRDefault="00D45B7D" w:rsidP="002C77D7">
      <w:pPr>
        <w:rPr>
          <w:color w:val="17365D"/>
        </w:rPr>
      </w:pPr>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2</w:t>
      </w:r>
      <w:r w:rsidRPr="00D45B7D">
        <w:rPr>
          <w:rFonts w:asciiTheme="minorHAnsi" w:hAnsiTheme="minorHAnsi"/>
          <w:color w:val="404040" w:themeColor="text1" w:themeTint="BF"/>
          <w:sz w:val="18"/>
        </w:rPr>
        <w:t>﹞</w:t>
      </w:r>
      <w:r w:rsidR="002C77D7" w:rsidRPr="00D57F5F">
        <w:rPr>
          <w:color w:val="17365D"/>
        </w:rPr>
        <w:t>法院應提供被害人或證人安全出庭之環境與措施。</w:t>
      </w:r>
    </w:p>
    <w:p w14:paraId="735F18F9" w14:textId="77777777" w:rsidR="00D45B7D" w:rsidRDefault="002C77D7" w:rsidP="002C77D7">
      <w:pPr>
        <w:pStyle w:val="2"/>
      </w:pPr>
      <w:r>
        <w:t>第</w:t>
      </w:r>
      <w:r>
        <w:t>11</w:t>
      </w:r>
      <w:r w:rsidR="00D45B7D">
        <w:t>點</w:t>
      </w:r>
    </w:p>
    <w:p w14:paraId="2BC5E282" w14:textId="12C315C2" w:rsidR="00D45B7D"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法院應設置候審室、候訊室、候保室、看管室及留置室等空間</w:t>
      </w:r>
      <w:r>
        <w:t>。</w:t>
      </w:r>
    </w:p>
    <w:p w14:paraId="7415B99F" w14:textId="15ACDA27" w:rsidR="00D45B7D"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2</w:t>
      </w:r>
      <w:r w:rsidRPr="00D45B7D">
        <w:rPr>
          <w:rFonts w:asciiTheme="minorHAnsi" w:hAnsiTheme="minorHAnsi"/>
          <w:color w:val="404040" w:themeColor="text1" w:themeTint="BF"/>
          <w:sz w:val="18"/>
        </w:rPr>
        <w:t>﹞</w:t>
      </w:r>
      <w:r w:rsidRPr="00D57F5F">
        <w:rPr>
          <w:color w:val="17365D"/>
        </w:rPr>
        <w:t>前項場所，除依規定應為適當區隔，不得併用外，法院得視其空間條件、使用頻率或業務需要，合併設置</w:t>
      </w:r>
      <w:r>
        <w:t>。</w:t>
      </w:r>
    </w:p>
    <w:p w14:paraId="68E22BAC" w14:textId="6726E869" w:rsidR="00D45B7D"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3</w:t>
      </w:r>
      <w:r w:rsidRPr="00D45B7D">
        <w:rPr>
          <w:rFonts w:asciiTheme="minorHAnsi" w:hAnsiTheme="minorHAnsi"/>
          <w:color w:val="404040" w:themeColor="text1" w:themeTint="BF"/>
          <w:sz w:val="18"/>
        </w:rPr>
        <w:t>﹞</w:t>
      </w:r>
      <w:r>
        <w:t>第一項場所應提供律師名錄及法律扶助相關資訊。</w:t>
      </w:r>
    </w:p>
    <w:p w14:paraId="07084AAC" w14:textId="28C14182" w:rsidR="002C77D7" w:rsidRPr="00D57F5F" w:rsidRDefault="00D45B7D" w:rsidP="002C77D7">
      <w:pPr>
        <w:rPr>
          <w:color w:val="17365D"/>
        </w:rPr>
      </w:pPr>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4</w:t>
      </w:r>
      <w:r w:rsidRPr="00D45B7D">
        <w:rPr>
          <w:rFonts w:asciiTheme="minorHAnsi" w:hAnsiTheme="minorHAnsi"/>
          <w:color w:val="404040" w:themeColor="text1" w:themeTint="BF"/>
          <w:sz w:val="18"/>
        </w:rPr>
        <w:t>﹞</w:t>
      </w:r>
      <w:r w:rsidR="002C77D7" w:rsidRPr="00D57F5F">
        <w:rPr>
          <w:color w:val="17365D"/>
        </w:rPr>
        <w:t>法警室及候保室應設置看板，詳細記載每日各人犯具保、責付之處理情形，所載事項保留至次日供查詢。</w:t>
      </w:r>
    </w:p>
    <w:p w14:paraId="2497FE70" w14:textId="77777777" w:rsidR="00D45B7D" w:rsidRDefault="002C77D7" w:rsidP="002C77D7">
      <w:pPr>
        <w:pStyle w:val="2"/>
      </w:pPr>
      <w:r>
        <w:t>第</w:t>
      </w:r>
      <w:r>
        <w:t>12</w:t>
      </w:r>
      <w:r w:rsidR="00D45B7D">
        <w:t>點</w:t>
      </w:r>
    </w:p>
    <w:p w14:paraId="57295DF3" w14:textId="72868B42" w:rsidR="00D45B7D"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法庭門口應設開庭號次顯示器，並張貼</w:t>
      </w:r>
      <w:hyperlink r:id="rId16" w:history="1">
        <w:r w:rsidR="002C77D7" w:rsidRPr="00D3307C">
          <w:rPr>
            <w:rStyle w:val="a3"/>
            <w:rFonts w:ascii="Times New Roman" w:hAnsi="Times New Roman"/>
          </w:rPr>
          <w:t>法庭旁聽規則</w:t>
        </w:r>
      </w:hyperlink>
      <w:r w:rsidR="002C77D7">
        <w:t>、</w:t>
      </w:r>
      <w:hyperlink r:id="rId17" w:history="1">
        <w:r w:rsidR="002C77D7" w:rsidRPr="00D3307C">
          <w:rPr>
            <w:rStyle w:val="a3"/>
            <w:rFonts w:ascii="Times New Roman" w:hAnsi="Times New Roman"/>
          </w:rPr>
          <w:t>法庭錄音錄影及其利用保存辦法</w:t>
        </w:r>
      </w:hyperlink>
      <w:r>
        <w:t>。</w:t>
      </w:r>
    </w:p>
    <w:p w14:paraId="19AE33EC" w14:textId="2A420980" w:rsidR="002C77D7" w:rsidRPr="00D57F5F" w:rsidRDefault="00D45B7D" w:rsidP="002C77D7">
      <w:pPr>
        <w:rPr>
          <w:color w:val="17365D"/>
        </w:rPr>
      </w:pPr>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2</w:t>
      </w:r>
      <w:r w:rsidRPr="00D45B7D">
        <w:rPr>
          <w:rFonts w:asciiTheme="minorHAnsi" w:hAnsiTheme="minorHAnsi"/>
          <w:color w:val="404040" w:themeColor="text1" w:themeTint="BF"/>
          <w:sz w:val="18"/>
        </w:rPr>
        <w:t>﹞</w:t>
      </w:r>
      <w:r w:rsidR="002C77D7" w:rsidRPr="00D57F5F">
        <w:rPr>
          <w:color w:val="17365D"/>
        </w:rPr>
        <w:t>法庭內宜設置空調設備，佈置應力求莊嚴肅穆；法庭人員服裝儀容，應整潔端莊，並備置其職稱名牌於相關席位。</w:t>
      </w:r>
    </w:p>
    <w:p w14:paraId="4074ECD5" w14:textId="77777777" w:rsidR="00D45B7D" w:rsidRDefault="002C77D7" w:rsidP="002C77D7">
      <w:pPr>
        <w:pStyle w:val="2"/>
      </w:pPr>
      <w:r>
        <w:t>第</w:t>
      </w:r>
      <w:r>
        <w:t>13</w:t>
      </w:r>
      <w:r w:rsidR="00D45B7D">
        <w:t>點</w:t>
      </w:r>
    </w:p>
    <w:p w14:paraId="73D6BABF" w14:textId="22FEAC11"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法院送達民眾之通知書或傳票，應於姓名下記載先生、女士或君之稱謂；所用之信封、明信片亦同。</w:t>
      </w:r>
    </w:p>
    <w:p w14:paraId="1D3D7BA3" w14:textId="77777777" w:rsidR="00D45B7D" w:rsidRDefault="002C77D7" w:rsidP="002C77D7">
      <w:pPr>
        <w:pStyle w:val="2"/>
      </w:pPr>
      <w:r>
        <w:t>第</w:t>
      </w:r>
      <w:r>
        <w:t>14</w:t>
      </w:r>
      <w:r w:rsidR="00D45B7D">
        <w:t>點</w:t>
      </w:r>
    </w:p>
    <w:p w14:paraId="67A3C127" w14:textId="2D1FEDAD"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法官指定庭期，宜預留時間供當事人或其他關係人充分準備，並斟酌路途遠近及案件繁簡，安排適量之案件，且確實分配每一案件之審理時間。</w:t>
      </w:r>
    </w:p>
    <w:p w14:paraId="619167C8" w14:textId="77777777" w:rsidR="00D45B7D" w:rsidRDefault="002C77D7" w:rsidP="002C77D7">
      <w:pPr>
        <w:pStyle w:val="2"/>
      </w:pPr>
      <w:r>
        <w:t>第</w:t>
      </w:r>
      <w:r>
        <w:t>15</w:t>
      </w:r>
      <w:r w:rsidR="00D45B7D">
        <w:t>點</w:t>
      </w:r>
    </w:p>
    <w:p w14:paraId="7DF6D301" w14:textId="6A856F20"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開庭前法官應充分準備，以發揮庭期績效。如需改期，宜當庭為之。</w:t>
      </w:r>
    </w:p>
    <w:p w14:paraId="739ACF3C" w14:textId="77777777" w:rsidR="00D45B7D" w:rsidRDefault="002C77D7" w:rsidP="002C77D7">
      <w:pPr>
        <w:pStyle w:val="2"/>
      </w:pPr>
      <w:r>
        <w:t>第</w:t>
      </w:r>
      <w:r>
        <w:t>16</w:t>
      </w:r>
      <w:r w:rsidR="00D45B7D">
        <w:t>點</w:t>
      </w:r>
    </w:p>
    <w:p w14:paraId="6EA77649" w14:textId="0DAF31BB"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開庭務必準時。如前一案件當事人或其他關係人未到齊，可就已到齊之後案先行審理，俟前案人員到齊後，再行審理。</w:t>
      </w:r>
    </w:p>
    <w:p w14:paraId="048249E5" w14:textId="77777777" w:rsidR="00D45B7D" w:rsidRDefault="002C77D7" w:rsidP="002C77D7">
      <w:pPr>
        <w:pStyle w:val="2"/>
      </w:pPr>
      <w:r>
        <w:lastRenderedPageBreak/>
        <w:t>第</w:t>
      </w:r>
      <w:r>
        <w:t>17</w:t>
      </w:r>
      <w:r w:rsidR="00D45B7D">
        <w:t>點</w:t>
      </w:r>
    </w:p>
    <w:p w14:paraId="0E6D8869" w14:textId="0B4BABA1"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法庭人員於法庭稱呼當事人或其他關係人時，宜於其姓名下加稱先生或女士。</w:t>
      </w:r>
    </w:p>
    <w:p w14:paraId="39BE52E1" w14:textId="77777777" w:rsidR="00D45B7D" w:rsidRDefault="002C77D7" w:rsidP="002C77D7">
      <w:pPr>
        <w:pStyle w:val="2"/>
      </w:pPr>
      <w:r>
        <w:t>第</w:t>
      </w:r>
      <w:r>
        <w:t>18</w:t>
      </w:r>
      <w:r w:rsidR="00D45B7D">
        <w:t>點</w:t>
      </w:r>
    </w:p>
    <w:p w14:paraId="59FB36A9" w14:textId="6CBE2009"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法官審理案件，應態度平和，舉止莊重，專心聽訟，不得任意對在庭之人辱罵、斥責或有其他損其尊嚴之行為；亦不得勉強和解、撤回起訴、撤回上訴、撤回告訴或自白犯罪事實。</w:t>
      </w:r>
    </w:p>
    <w:p w14:paraId="260E59CA" w14:textId="77777777" w:rsidR="00D45B7D" w:rsidRDefault="002C77D7" w:rsidP="002C77D7">
      <w:pPr>
        <w:pStyle w:val="2"/>
      </w:pPr>
      <w:r>
        <w:t>第</w:t>
      </w:r>
      <w:r>
        <w:t>19</w:t>
      </w:r>
      <w:r w:rsidR="00D45B7D">
        <w:t>點</w:t>
      </w:r>
    </w:p>
    <w:p w14:paraId="0B69DB34" w14:textId="08E0B40C"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對於年邁、身心障礙、體弱、懷孕或患病之當事人或其他關係人，法官得視實際需要使其就座陳述，或予適當之協助。</w:t>
      </w:r>
    </w:p>
    <w:p w14:paraId="214131DD" w14:textId="77777777" w:rsidR="00D45B7D" w:rsidRDefault="002C77D7" w:rsidP="002C77D7">
      <w:pPr>
        <w:pStyle w:val="2"/>
      </w:pPr>
      <w:r>
        <w:t>第</w:t>
      </w:r>
      <w:r>
        <w:t>20</w:t>
      </w:r>
      <w:r w:rsidR="00D45B7D">
        <w:t>點</w:t>
      </w:r>
    </w:p>
    <w:p w14:paraId="7AAA5C70" w14:textId="3977CCDD" w:rsidR="00D45B7D"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法官審理案件，應給予當事人、代理人、辯護人或輔佐人充分陳述及辯護之機會</w:t>
      </w:r>
      <w:r>
        <w:t>。</w:t>
      </w:r>
    </w:p>
    <w:p w14:paraId="6508B8BC" w14:textId="064DF0D8" w:rsidR="002C77D7" w:rsidRPr="00D57F5F" w:rsidRDefault="00D45B7D" w:rsidP="002C77D7">
      <w:pPr>
        <w:rPr>
          <w:color w:val="17365D"/>
        </w:rPr>
      </w:pPr>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2</w:t>
      </w:r>
      <w:r w:rsidRPr="00D45B7D">
        <w:rPr>
          <w:rFonts w:asciiTheme="minorHAnsi" w:hAnsiTheme="minorHAnsi"/>
          <w:color w:val="404040" w:themeColor="text1" w:themeTint="BF"/>
          <w:sz w:val="18"/>
        </w:rPr>
        <w:t>﹞</w:t>
      </w:r>
      <w:r w:rsidR="002C77D7" w:rsidRPr="00D57F5F">
        <w:rPr>
          <w:color w:val="17365D"/>
        </w:rPr>
        <w:t>法院開庭，法官得酌使在庭之人就坐或起立陳述；起立陳述後，得復坐。</w:t>
      </w:r>
    </w:p>
    <w:p w14:paraId="51198231" w14:textId="77777777" w:rsidR="00D45B7D" w:rsidRDefault="002C77D7" w:rsidP="002C77D7">
      <w:pPr>
        <w:pStyle w:val="2"/>
      </w:pPr>
      <w:r>
        <w:t>第</w:t>
      </w:r>
      <w:r>
        <w:t>21</w:t>
      </w:r>
      <w:r w:rsidR="00D45B7D">
        <w:t>點</w:t>
      </w:r>
    </w:p>
    <w:p w14:paraId="201CC1E2" w14:textId="66D43274"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t>證人、</w:t>
      </w:r>
      <w:r w:rsidR="002C77D7">
        <w:t>鑑定人於法官訊問、鑑定完畢後，應主動依規定發給證人、鑑定人日旅費或鑑定費。</w:t>
      </w:r>
    </w:p>
    <w:p w14:paraId="38682B9C" w14:textId="77777777" w:rsidR="00D45B7D" w:rsidRDefault="002C77D7" w:rsidP="002C77D7">
      <w:pPr>
        <w:pStyle w:val="2"/>
      </w:pPr>
      <w:r>
        <w:t>第</w:t>
      </w:r>
      <w:r>
        <w:t>22</w:t>
      </w:r>
      <w:r w:rsidR="00D45B7D">
        <w:t>點</w:t>
      </w:r>
    </w:p>
    <w:p w14:paraId="56CC1C9B" w14:textId="45EB7E10"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法官於法庭上，不宜與當事人、訴訟代理人、辯護人或其他訴訟關係人之單獨一方耳語或低聲交談。</w:t>
      </w:r>
    </w:p>
    <w:p w14:paraId="44BE7B6B" w14:textId="77777777" w:rsidR="00D45B7D" w:rsidRDefault="002C77D7" w:rsidP="002C77D7">
      <w:pPr>
        <w:pStyle w:val="2"/>
      </w:pPr>
      <w:r>
        <w:t>第</w:t>
      </w:r>
      <w:r>
        <w:t>23</w:t>
      </w:r>
      <w:r w:rsidR="00D45B7D">
        <w:t>點</w:t>
      </w:r>
    </w:p>
    <w:p w14:paraId="0F2A6B6D" w14:textId="0FDDF3F2"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承辦書記官於訴訟當事人查詢與案件進行有關之程序事項或裁判結果時，應予明確答覆，無法立即答覆者，亦應告以查明後再答覆。</w:t>
      </w:r>
    </w:p>
    <w:p w14:paraId="1B60642D" w14:textId="77777777" w:rsidR="00D45B7D" w:rsidRDefault="002C77D7" w:rsidP="002C77D7">
      <w:pPr>
        <w:pStyle w:val="2"/>
      </w:pPr>
      <w:r>
        <w:t>第</w:t>
      </w:r>
      <w:r>
        <w:t>24</w:t>
      </w:r>
      <w:r w:rsidR="00D45B7D">
        <w:t>點</w:t>
      </w:r>
    </w:p>
    <w:p w14:paraId="11CFC3EB" w14:textId="225111A3" w:rsidR="00D45B7D"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法院應規劃建立電話語音服務系統</w:t>
      </w:r>
      <w:r>
        <w:t>。</w:t>
      </w:r>
    </w:p>
    <w:p w14:paraId="37B26A7D" w14:textId="5C532DCB" w:rsidR="00D45B7D"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2</w:t>
      </w:r>
      <w:r w:rsidRPr="00D45B7D">
        <w:rPr>
          <w:rFonts w:asciiTheme="minorHAnsi" w:hAnsiTheme="minorHAnsi"/>
          <w:color w:val="404040" w:themeColor="text1" w:themeTint="BF"/>
          <w:sz w:val="18"/>
        </w:rPr>
        <w:t>﹞</w:t>
      </w:r>
      <w:r w:rsidRPr="00D57F5F">
        <w:rPr>
          <w:color w:val="17365D"/>
        </w:rPr>
        <w:t>接聽公務電話應講求電話禮貌，稱呼對方時，應加稱先生或女士</w:t>
      </w:r>
      <w:r>
        <w:t>。</w:t>
      </w:r>
    </w:p>
    <w:p w14:paraId="4B5DDCC8" w14:textId="41AF14F2"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3</w:t>
      </w:r>
      <w:r w:rsidRPr="00D45B7D">
        <w:rPr>
          <w:rFonts w:asciiTheme="minorHAnsi" w:hAnsiTheme="minorHAnsi"/>
          <w:color w:val="404040" w:themeColor="text1" w:themeTint="BF"/>
          <w:sz w:val="18"/>
        </w:rPr>
        <w:t>﹞</w:t>
      </w:r>
      <w:r w:rsidR="002C77D7">
        <w:t>前項規定，各法院研考人員得隨時檢查之。</w:t>
      </w:r>
    </w:p>
    <w:p w14:paraId="7EB65071" w14:textId="77777777" w:rsidR="00D45B7D" w:rsidRDefault="002C77D7" w:rsidP="002C77D7">
      <w:pPr>
        <w:pStyle w:val="2"/>
      </w:pPr>
      <w:r>
        <w:t>第</w:t>
      </w:r>
      <w:r>
        <w:t>25</w:t>
      </w:r>
      <w:r w:rsidR="00D45B7D">
        <w:t>點</w:t>
      </w:r>
    </w:p>
    <w:p w14:paraId="727ECE38" w14:textId="70D0E06F"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法院人員於民眾詢問時，應和藹親切回答。</w:t>
      </w:r>
    </w:p>
    <w:p w14:paraId="527AB023" w14:textId="77777777" w:rsidR="00D45B7D" w:rsidRDefault="002C77D7" w:rsidP="002C77D7">
      <w:pPr>
        <w:pStyle w:val="2"/>
      </w:pPr>
      <w:r>
        <w:t>第</w:t>
      </w:r>
      <w:r>
        <w:t>26</w:t>
      </w:r>
      <w:r w:rsidR="00D45B7D">
        <w:t>點</w:t>
      </w:r>
    </w:p>
    <w:p w14:paraId="50D88779" w14:textId="6C6DE634"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當事人聲請並經法院准許，得於假日辦理公證或急迫之強制執行事宜。</w:t>
      </w:r>
    </w:p>
    <w:p w14:paraId="4BC46BC7" w14:textId="77777777" w:rsidR="00D45B7D" w:rsidRDefault="002C77D7" w:rsidP="002C77D7">
      <w:pPr>
        <w:pStyle w:val="2"/>
      </w:pPr>
      <w:r>
        <w:t>第</w:t>
      </w:r>
      <w:r>
        <w:t>27</w:t>
      </w:r>
      <w:r w:rsidR="00D45B7D">
        <w:t>點</w:t>
      </w:r>
    </w:p>
    <w:p w14:paraId="1E052A27" w14:textId="793F6D2E"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當事人於法院下班後，提出書狀或文件者，法院應指定值班人員代收，並於法院網站清楚標示非上班時間收狀之服務時間及方式。</w:t>
      </w:r>
    </w:p>
    <w:p w14:paraId="368C9690" w14:textId="77777777" w:rsidR="00D45B7D" w:rsidRDefault="002C77D7" w:rsidP="002C77D7">
      <w:pPr>
        <w:pStyle w:val="2"/>
      </w:pPr>
      <w:r>
        <w:t>第</w:t>
      </w:r>
      <w:r>
        <w:t>28</w:t>
      </w:r>
      <w:r w:rsidR="00D45B7D">
        <w:t>點</w:t>
      </w:r>
    </w:p>
    <w:p w14:paraId="6D51398C" w14:textId="00884827"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依法得聲請閱覽卷宗之人聲請閱卷時，除有正當理由須另行通知閱覽者外，應即交閱。</w:t>
      </w:r>
    </w:p>
    <w:p w14:paraId="509A8F5C" w14:textId="77777777" w:rsidR="00D45B7D" w:rsidRDefault="002C77D7" w:rsidP="002C77D7">
      <w:pPr>
        <w:pStyle w:val="2"/>
      </w:pPr>
      <w:r>
        <w:t>第</w:t>
      </w:r>
      <w:r>
        <w:t>29</w:t>
      </w:r>
      <w:r w:rsidR="00D45B7D">
        <w:t>點</w:t>
      </w:r>
    </w:p>
    <w:p w14:paraId="50037B7E" w14:textId="50A8568A"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法院對民眾之書面、電子郵件陳訴，宜函復處理結果。對民眾之口頭陳訴，宜由書記官長或相關人員予以接見，並作適當處理。</w:t>
      </w:r>
    </w:p>
    <w:p w14:paraId="5CC839CF" w14:textId="77777777" w:rsidR="00D45B7D" w:rsidRDefault="002C77D7" w:rsidP="002C77D7">
      <w:pPr>
        <w:pStyle w:val="2"/>
      </w:pPr>
      <w:r>
        <w:lastRenderedPageBreak/>
        <w:t>第</w:t>
      </w:r>
      <w:r>
        <w:t>30</w:t>
      </w:r>
      <w:r w:rsidR="00D45B7D">
        <w:t>點</w:t>
      </w:r>
    </w:p>
    <w:p w14:paraId="576D5E62" w14:textId="09B2FEB8"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法院應主動利用各種機會，或藉由傳播媒體，加強宣導法律常識，並不定期接待民眾參觀法院，教育民眾法治觀念，以減少假冒司法人員名義破壞司法信譽事件之發生。</w:t>
      </w:r>
    </w:p>
    <w:p w14:paraId="5AA70A1B" w14:textId="77777777" w:rsidR="00D45B7D" w:rsidRDefault="002C77D7" w:rsidP="002C77D7">
      <w:pPr>
        <w:pStyle w:val="2"/>
      </w:pPr>
      <w:r>
        <w:t>第</w:t>
      </w:r>
      <w:r>
        <w:t>31</w:t>
      </w:r>
      <w:r w:rsidR="00D45B7D">
        <w:t>點</w:t>
      </w:r>
    </w:p>
    <w:p w14:paraId="12629513" w14:textId="09D66950"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法院宜利用適當集會，邀請專家或相關人員，以便民服務為主題，作專題演講。</w:t>
      </w:r>
    </w:p>
    <w:p w14:paraId="3726140B" w14:textId="77777777" w:rsidR="00D45B7D" w:rsidRDefault="002C77D7" w:rsidP="002C77D7">
      <w:pPr>
        <w:pStyle w:val="2"/>
      </w:pPr>
      <w:r>
        <w:t>第</w:t>
      </w:r>
      <w:r>
        <w:t>32</w:t>
      </w:r>
      <w:r w:rsidR="00D45B7D">
        <w:t>點</w:t>
      </w:r>
    </w:p>
    <w:p w14:paraId="23FC30DD" w14:textId="4DF8DF2A" w:rsidR="002C77D7" w:rsidRDefault="00D45B7D" w:rsidP="002C77D7">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本要點執行情形，研考人員應隨時檢查之，發現有違反情事時，應速陳報首長處理，並將檢查結果記載於業務檢查半年報表內層報司法院。上級機關於必要時，得不定期派員抽查執行情形。</w:t>
      </w:r>
    </w:p>
    <w:p w14:paraId="2310BFFC" w14:textId="77777777" w:rsidR="00D45B7D" w:rsidRDefault="002C77D7" w:rsidP="002C77D7">
      <w:pPr>
        <w:pStyle w:val="2"/>
      </w:pPr>
      <w:r>
        <w:t>第</w:t>
      </w:r>
      <w:r>
        <w:t>33</w:t>
      </w:r>
      <w:r w:rsidR="00D45B7D">
        <w:t>點</w:t>
      </w:r>
    </w:p>
    <w:p w14:paraId="0D542D52" w14:textId="6129BCA1" w:rsidR="002C77D7" w:rsidRPr="007B296F" w:rsidRDefault="00D45B7D" w:rsidP="002C77D7">
      <w:pPr>
        <w:ind w:leftChars="50" w:left="100" w:firstLineChars="50" w:firstLine="90"/>
        <w:jc w:val="both"/>
        <w:rPr>
          <w:rFonts w:ascii="Arial Unicode MS" w:hAnsi="Arial Unicode MS"/>
          <w:b/>
          <w:bCs/>
          <w:color w:val="000000"/>
          <w:sz w:val="18"/>
        </w:rPr>
      </w:pPr>
      <w:r w:rsidRPr="00D45B7D">
        <w:rPr>
          <w:rFonts w:asciiTheme="minorHAnsi" w:hAnsiTheme="minorHAnsi"/>
          <w:color w:val="404040" w:themeColor="text1" w:themeTint="BF"/>
          <w:sz w:val="18"/>
        </w:rPr>
        <w:t>﹝</w:t>
      </w:r>
      <w:r w:rsidRPr="00D45B7D">
        <w:rPr>
          <w:rFonts w:asciiTheme="minorHAnsi" w:hAnsiTheme="minorHAnsi"/>
          <w:color w:val="404040" w:themeColor="text1" w:themeTint="BF"/>
          <w:sz w:val="18"/>
        </w:rPr>
        <w:t>1</w:t>
      </w:r>
      <w:r w:rsidRPr="00D45B7D">
        <w:rPr>
          <w:rFonts w:asciiTheme="minorHAnsi" w:hAnsiTheme="minorHAnsi"/>
          <w:color w:val="404040" w:themeColor="text1" w:themeTint="BF"/>
          <w:sz w:val="18"/>
        </w:rPr>
        <w:t>﹞</w:t>
      </w:r>
      <w:r w:rsidR="002C77D7">
        <w:t>法院院長應切實督導所屬執行本要點，對執行有功或違反本要點之人員，應依規定適時給予獎懲。</w:t>
      </w:r>
    </w:p>
    <w:p w14:paraId="715B48C6" w14:textId="77777777" w:rsidR="000B028F" w:rsidRPr="002C77D7" w:rsidRDefault="000B028F" w:rsidP="002C77D7"/>
    <w:p w14:paraId="5603D7A7" w14:textId="77777777" w:rsidR="000B028F" w:rsidRDefault="000B028F" w:rsidP="00E64725">
      <w:pPr>
        <w:jc w:val="both"/>
        <w:rPr>
          <w:rFonts w:ascii="Arial Unicode MS" w:hAnsi="Arial Unicode MS"/>
          <w:b/>
          <w:bCs/>
          <w:color w:val="800000"/>
        </w:rPr>
      </w:pPr>
    </w:p>
    <w:p w14:paraId="2AA64687" w14:textId="77777777" w:rsidR="00D45B7D" w:rsidRPr="002A130B" w:rsidRDefault="00D45B7D" w:rsidP="00D45B7D">
      <w:pPr>
        <w:jc w:val="both"/>
        <w:rPr>
          <w:rFonts w:ascii="Arial Unicode MS" w:hAnsi="Arial Unicode MS" w:cs="新細明體"/>
          <w:color w:val="808080"/>
          <w:sz w:val="18"/>
          <w:szCs w:val="18"/>
        </w:rPr>
      </w:pPr>
      <w:r w:rsidRPr="002A130B">
        <w:rPr>
          <w:rFonts w:ascii="Arial Unicode MS" w:hAnsi="Arial Unicode MS" w:hint="eastAsia"/>
          <w:color w:val="5F5F5F"/>
          <w:sz w:val="18"/>
        </w:rPr>
        <w:t>。。。。。。。。。。。。。。。。。。。。。。。。。。。。。。。。。。。。。。。。。。。。。。。。。。</w:t>
      </w:r>
      <w:hyperlink w:anchor="top" w:history="1">
        <w:hyperlink w:anchor="top" w:history="1">
          <w:r w:rsidRPr="002A130B">
            <w:rPr>
              <w:rStyle w:val="a3"/>
              <w:rFonts w:ascii="Arial Unicode MS" w:hAnsi="Arial Unicode MS" w:hint="eastAsia"/>
              <w:sz w:val="18"/>
            </w:rPr>
            <w:t>回首頁</w:t>
          </w:r>
        </w:hyperlink>
      </w:hyperlink>
      <w:r w:rsidRPr="002A130B">
        <w:rPr>
          <w:rFonts w:ascii="Arial Unicode MS" w:hAnsi="Arial Unicode MS" w:hint="eastAsia"/>
          <w:color w:val="808000"/>
          <w:sz w:val="18"/>
        </w:rPr>
        <w:t>〉〉</w:t>
      </w:r>
    </w:p>
    <w:p w14:paraId="47EC7672" w14:textId="77777777" w:rsidR="00D45B7D" w:rsidRPr="00080966" w:rsidRDefault="00D45B7D" w:rsidP="00D45B7D">
      <w:pPr>
        <w:ind w:left="142"/>
        <w:jc w:val="both"/>
        <w:rPr>
          <w:rFonts w:ascii="Arial Unicode MS" w:hAnsi="Arial Unicode MS"/>
          <w:b/>
          <w:bCs/>
          <w:color w:val="800000"/>
        </w:rPr>
      </w:pPr>
      <w:r w:rsidRPr="002A130B">
        <w:rPr>
          <w:rFonts w:ascii="Arial Unicode MS" w:hAnsi="Arial Unicode MS" w:hint="eastAsia"/>
          <w:color w:val="5F5F5F"/>
          <w:sz w:val="18"/>
          <w:szCs w:val="18"/>
        </w:rPr>
        <w:t>【編註】本超連結法規檔提供學習與參考為原則；如需正式引用，請以正式公告版為準。如有發現待更正部份及您所需本站未收編之法規</w:t>
      </w:r>
      <w:r w:rsidRPr="002A130B">
        <w:rPr>
          <w:rFonts w:ascii="Arial Unicode MS" w:hAnsi="Arial Unicode MS" w:hint="eastAsia"/>
          <w:color w:val="5F5F5F"/>
          <w:sz w:val="18"/>
          <w:szCs w:val="20"/>
        </w:rPr>
        <w:t>，</w:t>
      </w:r>
      <w:r w:rsidRPr="002A130B">
        <w:rPr>
          <w:rFonts w:ascii="Arial Unicode MS" w:hAnsi="Arial Unicode MS"/>
          <w:color w:val="5F5F5F"/>
          <w:sz w:val="18"/>
          <w:szCs w:val="20"/>
        </w:rPr>
        <w:t>敬請</w:t>
      </w:r>
      <w:hyperlink r:id="rId18" w:history="1">
        <w:r w:rsidRPr="00AD4E8C">
          <w:rPr>
            <w:rStyle w:val="a3"/>
            <w:rFonts w:ascii="Arial Unicode MS" w:hAnsi="Arial Unicode MS"/>
            <w:sz w:val="18"/>
            <w:szCs w:val="20"/>
          </w:rPr>
          <w:t>告知</w:t>
        </w:r>
      </w:hyperlink>
      <w:r w:rsidRPr="002A130B">
        <w:rPr>
          <w:rFonts w:ascii="Arial Unicode MS" w:hAnsi="Arial Unicode MS" w:hint="eastAsia"/>
          <w:color w:val="5F5F5F"/>
          <w:sz w:val="18"/>
          <w:szCs w:val="20"/>
        </w:rPr>
        <w:t>，謝謝！</w:t>
      </w:r>
    </w:p>
    <w:p w14:paraId="69907DB9" w14:textId="77777777" w:rsidR="000B028F" w:rsidRPr="00D45B7D" w:rsidRDefault="000B028F" w:rsidP="00E64725">
      <w:pPr>
        <w:jc w:val="both"/>
        <w:rPr>
          <w:rFonts w:ascii="Arial Unicode MS" w:hAnsi="Arial Unicode MS"/>
          <w:b/>
          <w:bCs/>
          <w:color w:val="800000"/>
        </w:rPr>
      </w:pPr>
    </w:p>
    <w:p w14:paraId="673416F1" w14:textId="4DEF7749" w:rsidR="000B028F" w:rsidRPr="00276AA4" w:rsidRDefault="003979A0" w:rsidP="002C77D7">
      <w:pPr>
        <w:pStyle w:val="1"/>
        <w:rPr>
          <w:color w:val="800000"/>
        </w:rPr>
      </w:pPr>
      <w:bookmarkStart w:id="1" w:name="_:::民國九十二年十一月二十六日公布條文:::"/>
      <w:bookmarkEnd w:id="1"/>
      <w:r>
        <w:t>:::</w:t>
      </w:r>
      <w:r w:rsidR="002C77D7" w:rsidRPr="00E8049A">
        <w:rPr>
          <w:rFonts w:hint="eastAsia"/>
        </w:rPr>
        <w:t>民國九十二年十一月二十六日</w:t>
      </w:r>
      <w:r w:rsidR="00D45B7D" w:rsidRPr="00D45B7D">
        <w:rPr>
          <w:rFonts w:hint="eastAsia"/>
          <w:szCs w:val="20"/>
        </w:rPr>
        <w:t>發</w:t>
      </w:r>
      <w:r w:rsidRPr="009F5EE7">
        <w:rPr>
          <w:rFonts w:hint="eastAsia"/>
          <w:szCs w:val="20"/>
        </w:rPr>
        <w:t>布條文</w:t>
      </w:r>
      <w:r>
        <w:t>:::</w:t>
      </w:r>
      <w:r w:rsidR="0091525B" w:rsidRPr="0091525B">
        <w:rPr>
          <w:color w:val="FFFFFF" w:themeColor="background1"/>
        </w:rPr>
        <w:t>z</w:t>
      </w:r>
    </w:p>
    <w:p w14:paraId="54611B9A" w14:textId="6B121EA6" w:rsidR="00CF2D69" w:rsidRPr="00201384" w:rsidRDefault="00D45B7D" w:rsidP="00D57F5F">
      <w:pPr>
        <w:pStyle w:val="1"/>
      </w:pPr>
      <w:r>
        <w:t>【法規內容】</w:t>
      </w:r>
    </w:p>
    <w:p w14:paraId="5F649F05" w14:textId="77777777" w:rsidR="00D45B7D" w:rsidRDefault="00B806A6" w:rsidP="00201384">
      <w:pPr>
        <w:pStyle w:val="2"/>
        <w:rPr>
          <w:rFonts w:hint="eastAsia"/>
        </w:rPr>
      </w:pPr>
      <w:r w:rsidRPr="00201384">
        <w:rPr>
          <w:rFonts w:hint="eastAsia"/>
        </w:rPr>
        <w:t>第</w:t>
      </w:r>
      <w:r w:rsidR="00CE29C1">
        <w:rPr>
          <w:rFonts w:hint="eastAsia"/>
        </w:rPr>
        <w:t>1</w:t>
      </w:r>
      <w:r w:rsidR="00D45B7D">
        <w:rPr>
          <w:rFonts w:hint="eastAsia"/>
        </w:rPr>
        <w:t>點</w:t>
      </w:r>
    </w:p>
    <w:p w14:paraId="650300A0" w14:textId="4ED6AB3C"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司法院為革新司法，提升司法形象，達到便民禮民之目的，特訂定本要點。</w:t>
      </w:r>
    </w:p>
    <w:p w14:paraId="35962ADA"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2</w:t>
      </w:r>
      <w:r w:rsidR="00D45B7D">
        <w:rPr>
          <w:rFonts w:ascii="新細明體" w:hAnsi="新細明體" w:hint="eastAsia"/>
        </w:rPr>
        <w:t>點</w:t>
      </w:r>
    </w:p>
    <w:p w14:paraId="62687884" w14:textId="2693C521" w:rsidR="00D45B7D" w:rsidRDefault="00D45B7D" w:rsidP="00CA2B0C">
      <w:pPr>
        <w:ind w:left="142"/>
        <w:jc w:val="both"/>
        <w:rPr>
          <w:rFonts w:ascii="Arial Unicode MS" w:hAnsi="Arial Unicode MS" w:hint="eastAsia"/>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法院應於交通要衢設置法院指標</w:t>
      </w:r>
      <w:r>
        <w:rPr>
          <w:rFonts w:ascii="Arial Unicode MS" w:hAnsi="Arial Unicode MS" w:hint="eastAsia"/>
          <w:color w:val="5F5F5F"/>
        </w:rPr>
        <w:t>。</w:t>
      </w:r>
    </w:p>
    <w:p w14:paraId="1905DCDF" w14:textId="0A200163" w:rsidR="00CA2B0C" w:rsidRPr="003979A0" w:rsidRDefault="00D45B7D" w:rsidP="00CA2B0C">
      <w:pPr>
        <w:ind w:left="142"/>
        <w:jc w:val="both"/>
        <w:rPr>
          <w:rFonts w:ascii="Arial Unicode MS" w:hAnsi="Arial Unicode MS"/>
          <w:color w:val="666699"/>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2</w:t>
      </w:r>
      <w:r w:rsidRPr="00D45B7D">
        <w:rPr>
          <w:rFonts w:asciiTheme="minorHAnsi" w:hAnsiTheme="minorHAnsi" w:hint="eastAsia"/>
          <w:color w:val="404040" w:themeColor="text1" w:themeTint="BF"/>
          <w:sz w:val="18"/>
        </w:rPr>
        <w:t>﹞</w:t>
      </w:r>
      <w:r w:rsidR="00CA2B0C" w:rsidRPr="003979A0">
        <w:rPr>
          <w:rFonts w:ascii="Arial Unicode MS" w:hAnsi="Arial Unicode MS" w:hint="eastAsia"/>
          <w:color w:val="666699"/>
        </w:rPr>
        <w:t>法院通知書、傳票上應詳載法院地址、訴訟輔導科電話及電子信箱網址，背面應繪法院位置圖及說明可搭乘之交通工具及路線。</w:t>
      </w:r>
    </w:p>
    <w:p w14:paraId="0C80F932" w14:textId="77777777" w:rsidR="00D45B7D" w:rsidRDefault="00B806A6" w:rsidP="00201384">
      <w:pPr>
        <w:pStyle w:val="2"/>
        <w:rPr>
          <w:rFonts w:hint="eastAsia"/>
        </w:rPr>
      </w:pPr>
      <w:r w:rsidRPr="00E8049A">
        <w:rPr>
          <w:rFonts w:hint="eastAsia"/>
        </w:rPr>
        <w:t>第</w:t>
      </w:r>
      <w:r w:rsidR="00CE29C1">
        <w:rPr>
          <w:rFonts w:hint="eastAsia"/>
        </w:rPr>
        <w:t>3</w:t>
      </w:r>
      <w:r w:rsidR="00D45B7D">
        <w:rPr>
          <w:rFonts w:hint="eastAsia"/>
        </w:rPr>
        <w:t>點</w:t>
      </w:r>
    </w:p>
    <w:p w14:paraId="70D8A964" w14:textId="3CA63DF2"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法院宜在大門入口明顯處所設服務台，並應於適當處所設置法庭及辦公室等平面配置圖及引導指標。</w:t>
      </w:r>
    </w:p>
    <w:p w14:paraId="0E3FD4B6" w14:textId="77777777" w:rsidR="00D45B7D" w:rsidRDefault="00B806A6" w:rsidP="00201384">
      <w:pPr>
        <w:pStyle w:val="2"/>
        <w:rPr>
          <w:rFonts w:hint="eastAsia"/>
        </w:rPr>
      </w:pPr>
      <w:r w:rsidRPr="00E8049A">
        <w:rPr>
          <w:rFonts w:hint="eastAsia"/>
        </w:rPr>
        <w:t>第</w:t>
      </w:r>
      <w:r w:rsidR="00CE29C1">
        <w:rPr>
          <w:rFonts w:hint="eastAsia"/>
        </w:rPr>
        <w:t>4</w:t>
      </w:r>
      <w:r w:rsidR="00D45B7D">
        <w:rPr>
          <w:rFonts w:hint="eastAsia"/>
        </w:rPr>
        <w:t>點</w:t>
      </w:r>
    </w:p>
    <w:p w14:paraId="3D56E10A" w14:textId="121821B9"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法院應於公眾出入頻繁之明顯處，設置公告牌，張貼破壞司法信譽案件之判決或剪報，促民眾注意，防免受騙。</w:t>
      </w:r>
    </w:p>
    <w:p w14:paraId="4CD4CD7A" w14:textId="77777777" w:rsidR="00D45B7D" w:rsidRDefault="00B806A6" w:rsidP="00201384">
      <w:pPr>
        <w:pStyle w:val="2"/>
        <w:rPr>
          <w:rFonts w:hint="eastAsia"/>
        </w:rPr>
      </w:pPr>
      <w:r w:rsidRPr="00E8049A">
        <w:rPr>
          <w:rFonts w:hint="eastAsia"/>
        </w:rPr>
        <w:t>第</w:t>
      </w:r>
      <w:r w:rsidR="00CE29C1">
        <w:rPr>
          <w:rFonts w:hint="eastAsia"/>
        </w:rPr>
        <w:t>5</w:t>
      </w:r>
      <w:r w:rsidR="00D45B7D">
        <w:rPr>
          <w:rFonts w:hint="eastAsia"/>
        </w:rPr>
        <w:t>點</w:t>
      </w:r>
    </w:p>
    <w:p w14:paraId="3B946080" w14:textId="5B06DBEA"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法院與民眾接觸頻繁之單位，宜集中設置，以利行政服務一元化及電腦化，俾提高服務品質及效率。</w:t>
      </w:r>
    </w:p>
    <w:p w14:paraId="43BFB559" w14:textId="77777777" w:rsidR="00D45B7D" w:rsidRDefault="00B806A6" w:rsidP="00201384">
      <w:pPr>
        <w:pStyle w:val="2"/>
        <w:rPr>
          <w:rFonts w:hint="eastAsia"/>
        </w:rPr>
      </w:pPr>
      <w:r w:rsidRPr="00E8049A">
        <w:rPr>
          <w:rFonts w:hint="eastAsia"/>
        </w:rPr>
        <w:t>第</w:t>
      </w:r>
      <w:r w:rsidR="00CE29C1">
        <w:rPr>
          <w:rFonts w:hint="eastAsia"/>
        </w:rPr>
        <w:t>6</w:t>
      </w:r>
      <w:r w:rsidR="00D45B7D">
        <w:rPr>
          <w:rFonts w:hint="eastAsia"/>
        </w:rPr>
        <w:t>點</w:t>
      </w:r>
    </w:p>
    <w:p w14:paraId="2B432CA6" w14:textId="4949BE5F"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訴訟輔導科工作人員應指派績優，具服務熱忱，並富有民刑事紀錄或辦理強制執行案件經驗之人員擔任，</w:t>
      </w:r>
      <w:r w:rsidR="00CA2B0C" w:rsidRPr="00D57F5F">
        <w:rPr>
          <w:rFonts w:ascii="Arial Unicode MS" w:hAnsi="Arial Unicode MS" w:hint="eastAsia"/>
          <w:color w:val="5F5F5F"/>
        </w:rPr>
        <w:lastRenderedPageBreak/>
        <w:t>其態度應和藹親切。</w:t>
      </w:r>
    </w:p>
    <w:p w14:paraId="6B5602AB"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7</w:t>
      </w:r>
      <w:r w:rsidR="00D45B7D">
        <w:rPr>
          <w:rFonts w:ascii="新細明體" w:hAnsi="新細明體" w:hint="eastAsia"/>
        </w:rPr>
        <w:t>點</w:t>
      </w:r>
    </w:p>
    <w:p w14:paraId="6FF390C8" w14:textId="19F94CB3"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訴訟輔導科應備置下列資料供民眾取閱：</w:t>
      </w:r>
    </w:p>
    <w:p w14:paraId="1DC7E951" w14:textId="77777777" w:rsidR="00D45B7D" w:rsidRDefault="00B806A6" w:rsidP="00CA2B0C">
      <w:pPr>
        <w:ind w:left="142"/>
        <w:jc w:val="both"/>
        <w:rPr>
          <w:rFonts w:ascii="Arial Unicode MS" w:hAnsi="Arial Unicode MS" w:hint="eastAsia"/>
          <w:color w:val="5F5F5F"/>
        </w:rPr>
      </w:pPr>
      <w:r w:rsidRPr="00D57F5F">
        <w:rPr>
          <w:rFonts w:ascii="Arial Unicode MS" w:hAnsi="Arial Unicode MS" w:hint="eastAsia"/>
          <w:color w:val="5F5F5F"/>
        </w:rPr>
        <w:t xml:space="preserve">　　</w:t>
      </w:r>
      <w:r w:rsidR="00CA2B0C" w:rsidRPr="00D57F5F">
        <w:rPr>
          <w:rFonts w:ascii="Arial Unicode MS" w:hAnsi="Arial Unicode MS" w:hint="eastAsia"/>
          <w:color w:val="5F5F5F"/>
        </w:rPr>
        <w:t>（一）各種書狀範例</w:t>
      </w:r>
      <w:r w:rsidR="00D45B7D">
        <w:rPr>
          <w:rFonts w:ascii="Arial Unicode MS" w:hAnsi="Arial Unicode MS" w:hint="eastAsia"/>
          <w:color w:val="5F5F5F"/>
        </w:rPr>
        <w:t>。</w:t>
      </w:r>
    </w:p>
    <w:p w14:paraId="1FFB0C70" w14:textId="12AD8F3D" w:rsidR="00D45B7D" w:rsidRDefault="00D45B7D" w:rsidP="00CA2B0C">
      <w:pPr>
        <w:ind w:left="142"/>
        <w:jc w:val="both"/>
        <w:rPr>
          <w:rFonts w:ascii="Arial Unicode MS" w:hAnsi="Arial Unicode MS" w:hint="eastAsia"/>
          <w:color w:val="5F5F5F"/>
        </w:rPr>
      </w:pPr>
      <w:r>
        <w:rPr>
          <w:rFonts w:ascii="Arial Unicode MS" w:hAnsi="Arial Unicode MS" w:hint="eastAsia"/>
          <w:color w:val="5F5F5F"/>
        </w:rPr>
        <w:t xml:space="preserve">　　（</w:t>
      </w:r>
      <w:r w:rsidR="00CA2B0C" w:rsidRPr="00D57F5F">
        <w:rPr>
          <w:rFonts w:ascii="Arial Unicode MS" w:hAnsi="Arial Unicode MS" w:hint="eastAsia"/>
          <w:color w:val="5F5F5F"/>
        </w:rPr>
        <w:t>二）各項須知</w:t>
      </w:r>
      <w:r>
        <w:rPr>
          <w:rFonts w:ascii="Arial Unicode MS" w:hAnsi="Arial Unicode MS" w:hint="eastAsia"/>
          <w:color w:val="5F5F5F"/>
        </w:rPr>
        <w:t>。</w:t>
      </w:r>
    </w:p>
    <w:p w14:paraId="456EF1A5" w14:textId="3099C113" w:rsidR="00D45B7D" w:rsidRDefault="00D45B7D" w:rsidP="00CA2B0C">
      <w:pPr>
        <w:ind w:left="142"/>
        <w:jc w:val="both"/>
        <w:rPr>
          <w:rFonts w:ascii="Arial Unicode MS" w:hAnsi="Arial Unicode MS" w:hint="eastAsia"/>
          <w:color w:val="5F5F5F"/>
        </w:rPr>
      </w:pPr>
      <w:r>
        <w:rPr>
          <w:rFonts w:ascii="Arial Unicode MS" w:hAnsi="Arial Unicode MS" w:hint="eastAsia"/>
          <w:color w:val="5F5F5F"/>
        </w:rPr>
        <w:t xml:space="preserve">　　（</w:t>
      </w:r>
      <w:r w:rsidR="00CA2B0C" w:rsidRPr="00D57F5F">
        <w:rPr>
          <w:rFonts w:ascii="Arial Unicode MS" w:hAnsi="Arial Unicode MS" w:hint="eastAsia"/>
          <w:color w:val="5F5F5F"/>
        </w:rPr>
        <w:t>三）律師名錄</w:t>
      </w:r>
      <w:r>
        <w:rPr>
          <w:rFonts w:ascii="Arial Unicode MS" w:hAnsi="Arial Unicode MS" w:hint="eastAsia"/>
          <w:color w:val="5F5F5F"/>
        </w:rPr>
        <w:t>。</w:t>
      </w:r>
    </w:p>
    <w:p w14:paraId="2CD7CDC6" w14:textId="6CFA9AA9" w:rsidR="00D45B7D" w:rsidRDefault="00D45B7D" w:rsidP="00CA2B0C">
      <w:pPr>
        <w:ind w:left="142"/>
        <w:jc w:val="both"/>
        <w:rPr>
          <w:rFonts w:ascii="Arial Unicode MS" w:hAnsi="Arial Unicode MS" w:hint="eastAsia"/>
          <w:color w:val="5F5F5F"/>
        </w:rPr>
      </w:pPr>
      <w:r>
        <w:rPr>
          <w:rFonts w:ascii="Arial Unicode MS" w:hAnsi="Arial Unicode MS" w:hint="eastAsia"/>
          <w:color w:val="5F5F5F"/>
        </w:rPr>
        <w:t xml:space="preserve">　　（</w:t>
      </w:r>
      <w:r w:rsidR="00CA2B0C" w:rsidRPr="00D57F5F">
        <w:rPr>
          <w:rFonts w:ascii="Arial Unicode MS" w:hAnsi="Arial Unicode MS" w:hint="eastAsia"/>
          <w:color w:val="5F5F5F"/>
        </w:rPr>
        <w:t>四）法律常識書刊</w:t>
      </w:r>
      <w:r>
        <w:rPr>
          <w:rFonts w:ascii="Arial Unicode MS" w:hAnsi="Arial Unicode MS" w:hint="eastAsia"/>
          <w:color w:val="5F5F5F"/>
        </w:rPr>
        <w:t>。</w:t>
      </w:r>
    </w:p>
    <w:p w14:paraId="604E4BED" w14:textId="23218CF8" w:rsidR="00CA2B0C" w:rsidRPr="00D57F5F" w:rsidRDefault="00D45B7D" w:rsidP="00CA2B0C">
      <w:pPr>
        <w:ind w:left="142"/>
        <w:jc w:val="both"/>
        <w:rPr>
          <w:rFonts w:ascii="Arial Unicode MS" w:hAnsi="Arial Unicode MS"/>
          <w:color w:val="5F5F5F"/>
        </w:rPr>
      </w:pPr>
      <w:r>
        <w:rPr>
          <w:rFonts w:ascii="Arial Unicode MS" w:hAnsi="Arial Unicode MS" w:hint="eastAsia"/>
          <w:color w:val="5F5F5F"/>
        </w:rPr>
        <w:t xml:space="preserve">　　（</w:t>
      </w:r>
      <w:r w:rsidR="00CA2B0C" w:rsidRPr="00D57F5F">
        <w:rPr>
          <w:rFonts w:ascii="Arial Unicode MS" w:hAnsi="Arial Unicode MS" w:hint="eastAsia"/>
          <w:color w:val="5F5F5F"/>
        </w:rPr>
        <w:t>五）其他相關資訊。</w:t>
      </w:r>
    </w:p>
    <w:p w14:paraId="0A0FB93F"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8</w:t>
      </w:r>
      <w:r w:rsidR="00D45B7D">
        <w:rPr>
          <w:rFonts w:ascii="新細明體" w:hAnsi="新細明體" w:hint="eastAsia"/>
        </w:rPr>
        <w:t>點</w:t>
      </w:r>
    </w:p>
    <w:p w14:paraId="09BAA4F4" w14:textId="12257630" w:rsidR="00D45B7D" w:rsidRDefault="00D45B7D" w:rsidP="00CA2B0C">
      <w:pPr>
        <w:ind w:left="142"/>
        <w:jc w:val="both"/>
        <w:rPr>
          <w:rFonts w:ascii="Arial Unicode MS" w:hAnsi="Arial Unicode MS" w:hint="eastAsia"/>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訴訟輔導科宜於明顯處所設置觸摸式電腦查詢機，並應協助民眾操作使用</w:t>
      </w:r>
      <w:r>
        <w:rPr>
          <w:rFonts w:ascii="Arial Unicode MS" w:hAnsi="Arial Unicode MS" w:hint="eastAsia"/>
          <w:color w:val="5F5F5F"/>
        </w:rPr>
        <w:t>。</w:t>
      </w:r>
    </w:p>
    <w:p w14:paraId="73D43313" w14:textId="6C17A603" w:rsidR="00D45B7D" w:rsidRDefault="00D45B7D" w:rsidP="00CA2B0C">
      <w:pPr>
        <w:ind w:left="142"/>
        <w:jc w:val="both"/>
        <w:rPr>
          <w:rFonts w:ascii="Arial Unicode MS" w:hAnsi="Arial Unicode MS" w:hint="eastAsia"/>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2</w:t>
      </w:r>
      <w:r w:rsidRPr="00D45B7D">
        <w:rPr>
          <w:rFonts w:asciiTheme="minorHAnsi" w:hAnsiTheme="minorHAnsi" w:hint="eastAsia"/>
          <w:color w:val="404040" w:themeColor="text1" w:themeTint="BF"/>
          <w:sz w:val="18"/>
        </w:rPr>
        <w:t>﹞</w:t>
      </w:r>
      <w:r w:rsidRPr="003979A0">
        <w:rPr>
          <w:rFonts w:ascii="Arial Unicode MS" w:hAnsi="Arial Unicode MS" w:hint="eastAsia"/>
          <w:color w:val="666699"/>
        </w:rPr>
        <w:t>判決主文宣示後，應即輸入電腦，俾便民眾查詢；輸入逾二個月者，得予刪除</w:t>
      </w:r>
      <w:r>
        <w:rPr>
          <w:rFonts w:ascii="Arial Unicode MS" w:hAnsi="Arial Unicode MS" w:hint="eastAsia"/>
          <w:color w:val="5F5F5F"/>
        </w:rPr>
        <w:t>。</w:t>
      </w:r>
    </w:p>
    <w:p w14:paraId="375C325F" w14:textId="6382F210"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3</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前項規定研考人員應不定期抽查之。</w:t>
      </w:r>
    </w:p>
    <w:p w14:paraId="76E2C1A4"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9</w:t>
      </w:r>
      <w:r w:rsidR="00D45B7D">
        <w:rPr>
          <w:rFonts w:ascii="新細明體" w:hAnsi="新細明體" w:hint="eastAsia"/>
        </w:rPr>
        <w:t>點</w:t>
      </w:r>
    </w:p>
    <w:p w14:paraId="4ED61620" w14:textId="62E45DE0"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判決主文公告欄宜明確標示「主文公告逾五日，在本公告欄查閱無著者，可至訴訟輔導科使用觸摸式電腦查詢」。</w:t>
      </w:r>
    </w:p>
    <w:p w14:paraId="603ACDAC"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10</w:t>
      </w:r>
      <w:r w:rsidR="00D45B7D">
        <w:rPr>
          <w:rFonts w:ascii="新細明體" w:hAnsi="新細明體" w:hint="eastAsia"/>
        </w:rPr>
        <w:t>點</w:t>
      </w:r>
    </w:p>
    <w:p w14:paraId="6FD90130" w14:textId="4291D3C2"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法院宜分別設置當事人及證人（鑑定人）休息室，內置各法庭開庭號次顯示設備，並提供法庭教育、司法業務簡介之電腦或電視。</w:t>
      </w:r>
    </w:p>
    <w:p w14:paraId="7CFE6359"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11</w:t>
      </w:r>
      <w:r w:rsidR="00D45B7D">
        <w:rPr>
          <w:rFonts w:ascii="新細明體" w:hAnsi="新細明體" w:hint="eastAsia"/>
        </w:rPr>
        <w:t>點</w:t>
      </w:r>
    </w:p>
    <w:p w14:paraId="5335F343" w14:textId="2A0E2A68" w:rsidR="00D45B7D" w:rsidRDefault="00D45B7D" w:rsidP="00CA2B0C">
      <w:pPr>
        <w:ind w:left="142"/>
        <w:jc w:val="both"/>
        <w:rPr>
          <w:rFonts w:ascii="Arial Unicode MS" w:hAnsi="Arial Unicode MS" w:hint="eastAsia"/>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法院宜分別設置羈押被告候審室及候保室</w:t>
      </w:r>
      <w:r>
        <w:rPr>
          <w:rFonts w:ascii="Arial Unicode MS" w:hAnsi="Arial Unicode MS" w:hint="eastAsia"/>
          <w:color w:val="5F5F5F"/>
        </w:rPr>
        <w:t>。</w:t>
      </w:r>
    </w:p>
    <w:p w14:paraId="6763CE89" w14:textId="1710062F" w:rsidR="00D45B7D" w:rsidRDefault="00D45B7D" w:rsidP="00CA2B0C">
      <w:pPr>
        <w:ind w:left="142"/>
        <w:jc w:val="both"/>
        <w:rPr>
          <w:rFonts w:ascii="Arial Unicode MS" w:hAnsi="Arial Unicode MS" w:hint="eastAsia"/>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2</w:t>
      </w:r>
      <w:r w:rsidRPr="00D45B7D">
        <w:rPr>
          <w:rFonts w:asciiTheme="minorHAnsi" w:hAnsiTheme="minorHAnsi" w:hint="eastAsia"/>
          <w:color w:val="404040" w:themeColor="text1" w:themeTint="BF"/>
          <w:sz w:val="18"/>
        </w:rPr>
        <w:t>﹞</w:t>
      </w:r>
      <w:r w:rsidRPr="003979A0">
        <w:rPr>
          <w:rFonts w:ascii="Arial Unicode MS" w:hAnsi="Arial Unicode MS" w:hint="eastAsia"/>
          <w:color w:val="666699"/>
        </w:rPr>
        <w:t>羈押被告候審室應備律師名錄供被告查詢</w:t>
      </w:r>
      <w:r>
        <w:rPr>
          <w:rFonts w:ascii="Arial Unicode MS" w:hAnsi="Arial Unicode MS" w:hint="eastAsia"/>
          <w:color w:val="5F5F5F"/>
        </w:rPr>
        <w:t>。</w:t>
      </w:r>
    </w:p>
    <w:p w14:paraId="59D6FD2A" w14:textId="063AD909"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3</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法警室及候保室應設置看板，詳細記載每日各人犯具保、責付之處理情形，所載事項保留至次日供查詢。</w:t>
      </w:r>
    </w:p>
    <w:p w14:paraId="26065FBE"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12</w:t>
      </w:r>
      <w:r w:rsidR="00D45B7D">
        <w:rPr>
          <w:rFonts w:ascii="新細明體" w:hAnsi="新細明體" w:hint="eastAsia"/>
        </w:rPr>
        <w:t>點</w:t>
      </w:r>
    </w:p>
    <w:p w14:paraId="215A9EA4" w14:textId="143D122F" w:rsidR="00D45B7D" w:rsidRDefault="00D45B7D" w:rsidP="00CA2B0C">
      <w:pPr>
        <w:ind w:left="142"/>
        <w:jc w:val="both"/>
        <w:rPr>
          <w:rFonts w:ascii="Arial Unicode MS" w:hAnsi="Arial Unicode MS" w:hint="eastAsia"/>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法庭門口宜設開庭號次顯示設備</w:t>
      </w:r>
      <w:r>
        <w:rPr>
          <w:rFonts w:ascii="Arial Unicode MS" w:hAnsi="Arial Unicode MS" w:hint="eastAsia"/>
          <w:color w:val="5F5F5F"/>
        </w:rPr>
        <w:t>。</w:t>
      </w:r>
    </w:p>
    <w:p w14:paraId="444E5BA8" w14:textId="6DA2AA43" w:rsidR="00CA2B0C" w:rsidRPr="003979A0" w:rsidRDefault="00D45B7D" w:rsidP="00CA2B0C">
      <w:pPr>
        <w:ind w:left="142"/>
        <w:jc w:val="both"/>
        <w:rPr>
          <w:rFonts w:ascii="Arial Unicode MS" w:hAnsi="Arial Unicode MS"/>
          <w:color w:val="666699"/>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2</w:t>
      </w:r>
      <w:r w:rsidRPr="00D45B7D">
        <w:rPr>
          <w:rFonts w:asciiTheme="minorHAnsi" w:hAnsiTheme="minorHAnsi" w:hint="eastAsia"/>
          <w:color w:val="404040" w:themeColor="text1" w:themeTint="BF"/>
          <w:sz w:val="18"/>
        </w:rPr>
        <w:t>﹞</w:t>
      </w:r>
      <w:r w:rsidR="00CA2B0C" w:rsidRPr="003979A0">
        <w:rPr>
          <w:rFonts w:ascii="Arial Unicode MS" w:hAnsi="Arial Unicode MS" w:hint="eastAsia"/>
          <w:color w:val="666699"/>
        </w:rPr>
        <w:t>法庭內宜設置空調設備，佈置應力求莊嚴肅穆，法庭人員服裝儀容，應整潔端莊。</w:t>
      </w:r>
    </w:p>
    <w:p w14:paraId="5305F68B"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13</w:t>
      </w:r>
      <w:r w:rsidR="00D45B7D">
        <w:rPr>
          <w:rFonts w:ascii="新細明體" w:hAnsi="新細明體" w:hint="eastAsia"/>
        </w:rPr>
        <w:t>點</w:t>
      </w:r>
    </w:p>
    <w:p w14:paraId="7E76E815" w14:textId="50A6515C"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法院送達民眾之通知書或傳票，應於姓名下記載先生或女士，其所用之信封亦應記載之，使用明信片時亦同。</w:t>
      </w:r>
    </w:p>
    <w:p w14:paraId="172DDC23"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14</w:t>
      </w:r>
      <w:r w:rsidR="00D45B7D">
        <w:rPr>
          <w:rFonts w:ascii="新細明體" w:hAnsi="新細明體" w:hint="eastAsia"/>
        </w:rPr>
        <w:t>點</w:t>
      </w:r>
    </w:p>
    <w:p w14:paraId="027432D2" w14:textId="1028E02D"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法官指定庭期，宜預留時間供當事人或其他關係人充分準備，並斟酌路途遠近及案件繁簡，安排適量之案件，且確實分配每一案件之審理時間。</w:t>
      </w:r>
    </w:p>
    <w:p w14:paraId="550EB9F9"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15</w:t>
      </w:r>
      <w:r w:rsidR="00D45B7D">
        <w:rPr>
          <w:rFonts w:ascii="新細明體" w:hAnsi="新細明體" w:hint="eastAsia"/>
        </w:rPr>
        <w:t>點</w:t>
      </w:r>
    </w:p>
    <w:p w14:paraId="0E7A9DD6" w14:textId="601C9526"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開庭前法官應充分準備，以發揮庭期績效，如需改期，宜當庭為之。</w:t>
      </w:r>
    </w:p>
    <w:p w14:paraId="4B5818A0"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16</w:t>
      </w:r>
      <w:r w:rsidR="00D45B7D">
        <w:rPr>
          <w:rFonts w:ascii="新細明體" w:hAnsi="新細明體" w:hint="eastAsia"/>
        </w:rPr>
        <w:t>點</w:t>
      </w:r>
    </w:p>
    <w:p w14:paraId="26691028" w14:textId="281138BB"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開庭務必準時。如前一案件當事人或其他關係人未到齊，可就已到齊之後案先行審理，俟前案人員到齊</w:t>
      </w:r>
      <w:r w:rsidR="00CA2B0C" w:rsidRPr="00D57F5F">
        <w:rPr>
          <w:rFonts w:ascii="Arial Unicode MS" w:hAnsi="Arial Unicode MS" w:hint="eastAsia"/>
          <w:color w:val="5F5F5F"/>
        </w:rPr>
        <w:lastRenderedPageBreak/>
        <w:t>後，再行審理。</w:t>
      </w:r>
    </w:p>
    <w:p w14:paraId="093EC128"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17</w:t>
      </w:r>
      <w:r w:rsidR="00D45B7D">
        <w:rPr>
          <w:rFonts w:ascii="新細明體" w:hAnsi="新細明體" w:hint="eastAsia"/>
        </w:rPr>
        <w:t>點</w:t>
      </w:r>
    </w:p>
    <w:p w14:paraId="6303FC34" w14:textId="4637E2D7"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法庭人員於法庭稱呼當事人或其他關係人時，宜於其姓名下加稱先生或女士。</w:t>
      </w:r>
    </w:p>
    <w:p w14:paraId="06103821"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18</w:t>
      </w:r>
      <w:r w:rsidR="00D45B7D">
        <w:rPr>
          <w:rFonts w:ascii="新細明體" w:hAnsi="新細明體" w:hint="eastAsia"/>
        </w:rPr>
        <w:t>點</w:t>
      </w:r>
    </w:p>
    <w:p w14:paraId="3874A1D8" w14:textId="2EF4CF12"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法官審理案件宜態度平和，舉止莊重，專心聽訟，不得任意斥責當事人或其他關係人；亦不得勉強和解、撤回起訴、撤回上訴、撤回告訴或自白犯罪事實。</w:t>
      </w:r>
    </w:p>
    <w:p w14:paraId="7696089C"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19</w:t>
      </w:r>
      <w:r w:rsidR="00D45B7D">
        <w:rPr>
          <w:rFonts w:ascii="新細明體" w:hAnsi="新細明體" w:hint="eastAsia"/>
        </w:rPr>
        <w:t>點</w:t>
      </w:r>
    </w:p>
    <w:p w14:paraId="3C17C276" w14:textId="608F0522"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對於年邁、殘障、體弱或患病之當事人或其他關係人，法官得視實際需要命其就座陳述，或予適當之協助。</w:t>
      </w:r>
    </w:p>
    <w:p w14:paraId="3BAFAF56"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20</w:t>
      </w:r>
      <w:r w:rsidR="00D45B7D">
        <w:rPr>
          <w:rFonts w:ascii="新細明體" w:hAnsi="新細明體" w:hint="eastAsia"/>
        </w:rPr>
        <w:t>點</w:t>
      </w:r>
    </w:p>
    <w:p w14:paraId="7353B6CE" w14:textId="78FBEC07"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法官審理案件，應給予當事人、代理人或辯護人充分陳述及辯護之機會。當事人陳述告一段落，或未陳述時，得命其就座。</w:t>
      </w:r>
    </w:p>
    <w:p w14:paraId="5F8FC5B5"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21</w:t>
      </w:r>
      <w:r w:rsidR="00D45B7D">
        <w:rPr>
          <w:rFonts w:ascii="新細明體" w:hAnsi="新細明體" w:hint="eastAsia"/>
        </w:rPr>
        <w:t>點</w:t>
      </w:r>
    </w:p>
    <w:p w14:paraId="657A8899" w14:textId="2B3C47D8" w:rsidR="00D45B7D" w:rsidRDefault="00D45B7D" w:rsidP="00CA2B0C">
      <w:pPr>
        <w:ind w:left="142"/>
        <w:jc w:val="both"/>
        <w:rPr>
          <w:rFonts w:ascii="Arial Unicode MS" w:hAnsi="Arial Unicode MS" w:hint="eastAsia"/>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證人（鑑定人）應在證人（鑑定人）發言台應訊，法官不宜使之與當事人並排站立</w:t>
      </w:r>
      <w:r>
        <w:rPr>
          <w:rFonts w:ascii="Arial Unicode MS" w:hAnsi="Arial Unicode MS" w:hint="eastAsia"/>
          <w:color w:val="5F5F5F"/>
        </w:rPr>
        <w:t>。</w:t>
      </w:r>
    </w:p>
    <w:p w14:paraId="7C1F02B8" w14:textId="36A8E71E" w:rsidR="00CA2B0C" w:rsidRPr="003979A0" w:rsidRDefault="00D45B7D" w:rsidP="00CA2B0C">
      <w:pPr>
        <w:ind w:left="142"/>
        <w:jc w:val="both"/>
        <w:rPr>
          <w:rFonts w:ascii="Arial Unicode MS" w:hAnsi="Arial Unicode MS"/>
          <w:color w:val="666699"/>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2</w:t>
      </w:r>
      <w:r w:rsidRPr="00D45B7D">
        <w:rPr>
          <w:rFonts w:asciiTheme="minorHAnsi" w:hAnsiTheme="minorHAnsi" w:hint="eastAsia"/>
          <w:color w:val="404040" w:themeColor="text1" w:themeTint="BF"/>
          <w:sz w:val="18"/>
        </w:rPr>
        <w:t>﹞</w:t>
      </w:r>
      <w:r w:rsidR="00CA2B0C" w:rsidRPr="003979A0">
        <w:rPr>
          <w:rFonts w:ascii="Arial Unicode MS" w:hAnsi="Arial Unicode MS" w:hint="eastAsia"/>
          <w:color w:val="666699"/>
        </w:rPr>
        <w:t>證人（鑑定人）陳述完畢時宜請其回座，並於訊問完畢後主動發給證人（鑑定人）日旅費。</w:t>
      </w:r>
    </w:p>
    <w:p w14:paraId="6FD3CDFB"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22</w:t>
      </w:r>
      <w:r w:rsidR="00D45B7D">
        <w:rPr>
          <w:rFonts w:ascii="新細明體" w:hAnsi="新細明體" w:hint="eastAsia"/>
        </w:rPr>
        <w:t>點</w:t>
      </w:r>
    </w:p>
    <w:p w14:paraId="556DB74F" w14:textId="04367EE5"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法官於法庭上，不宜與律師耳語或低聲交談。</w:t>
      </w:r>
    </w:p>
    <w:p w14:paraId="2B14114C"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23</w:t>
      </w:r>
      <w:r w:rsidR="00D45B7D">
        <w:rPr>
          <w:rFonts w:ascii="新細明體" w:hAnsi="新細明體" w:hint="eastAsia"/>
        </w:rPr>
        <w:t>點</w:t>
      </w:r>
    </w:p>
    <w:p w14:paraId="3C1CA06A" w14:textId="5966D142"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承辦書記官於訴訟當事人查詢與案件進行有關之程序事項或裁判結果時，應予明確答覆，無法立即答覆者，亦應告以查明後再答覆。</w:t>
      </w:r>
    </w:p>
    <w:p w14:paraId="2D54839F"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24</w:t>
      </w:r>
      <w:r w:rsidR="00D45B7D">
        <w:rPr>
          <w:rFonts w:ascii="新細明體" w:hAnsi="新細明體" w:hint="eastAsia"/>
        </w:rPr>
        <w:t>點</w:t>
      </w:r>
    </w:p>
    <w:p w14:paraId="1AE0561D" w14:textId="33A9D6D5" w:rsidR="00D45B7D" w:rsidRDefault="00D45B7D" w:rsidP="00CA2B0C">
      <w:pPr>
        <w:ind w:left="142"/>
        <w:jc w:val="both"/>
        <w:rPr>
          <w:rFonts w:ascii="Arial Unicode MS" w:hAnsi="Arial Unicode MS" w:hint="eastAsia"/>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法院應規劃建立電話語音服務系統</w:t>
      </w:r>
      <w:r>
        <w:rPr>
          <w:rFonts w:ascii="Arial Unicode MS" w:hAnsi="Arial Unicode MS" w:hint="eastAsia"/>
          <w:color w:val="5F5F5F"/>
        </w:rPr>
        <w:t>。</w:t>
      </w:r>
    </w:p>
    <w:p w14:paraId="02C47826" w14:textId="21B5A5AA" w:rsidR="00D45B7D" w:rsidRDefault="00D45B7D" w:rsidP="00CA2B0C">
      <w:pPr>
        <w:ind w:left="142"/>
        <w:jc w:val="both"/>
        <w:rPr>
          <w:rFonts w:ascii="Arial Unicode MS" w:hAnsi="Arial Unicode MS" w:hint="eastAsia"/>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2</w:t>
      </w:r>
      <w:r w:rsidRPr="00D45B7D">
        <w:rPr>
          <w:rFonts w:asciiTheme="minorHAnsi" w:hAnsiTheme="minorHAnsi" w:hint="eastAsia"/>
          <w:color w:val="404040" w:themeColor="text1" w:themeTint="BF"/>
          <w:sz w:val="18"/>
        </w:rPr>
        <w:t>﹞</w:t>
      </w:r>
      <w:r w:rsidRPr="003979A0">
        <w:rPr>
          <w:rFonts w:ascii="Arial Unicode MS" w:hAnsi="Arial Unicode MS" w:hint="eastAsia"/>
          <w:color w:val="666699"/>
        </w:rPr>
        <w:t>接聽公務電話應講求電話禮貌，稱呼對方時，應加稱先生或女士</w:t>
      </w:r>
      <w:r>
        <w:rPr>
          <w:rFonts w:ascii="Arial Unicode MS" w:hAnsi="Arial Unicode MS" w:hint="eastAsia"/>
          <w:color w:val="5F5F5F"/>
        </w:rPr>
        <w:t>。</w:t>
      </w:r>
    </w:p>
    <w:p w14:paraId="253B570E" w14:textId="7BCF9C11"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3</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前項規定，研考人員應隨時檢查之。</w:t>
      </w:r>
    </w:p>
    <w:p w14:paraId="517F8813"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25</w:t>
      </w:r>
      <w:r w:rsidR="00D45B7D">
        <w:rPr>
          <w:rFonts w:ascii="新細明體" w:hAnsi="新細明體" w:hint="eastAsia"/>
        </w:rPr>
        <w:t>點</w:t>
      </w:r>
    </w:p>
    <w:p w14:paraId="19E9BF75" w14:textId="4A3946BA"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法院人員於民眾詢問時，應和藹親切回答。</w:t>
      </w:r>
    </w:p>
    <w:p w14:paraId="56842A7D"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26</w:t>
      </w:r>
      <w:r w:rsidR="00D45B7D">
        <w:rPr>
          <w:rFonts w:ascii="新細明體" w:hAnsi="新細明體" w:hint="eastAsia"/>
        </w:rPr>
        <w:t>點</w:t>
      </w:r>
    </w:p>
    <w:p w14:paraId="5C999EF1" w14:textId="616D5479"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當事人聲請並經法院准許，得於假日辦理公證或急迫之強制執行事宜。</w:t>
      </w:r>
    </w:p>
    <w:p w14:paraId="47A73347"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27</w:t>
      </w:r>
      <w:r w:rsidR="00D45B7D">
        <w:rPr>
          <w:rFonts w:ascii="新細明體" w:hAnsi="新細明體" w:hint="eastAsia"/>
        </w:rPr>
        <w:t>點</w:t>
      </w:r>
    </w:p>
    <w:p w14:paraId="42EEFEB0" w14:textId="024C6F36"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當事人於法院下班後，提出上訴、抗告書狀者，法院宜指定值班人員代收。</w:t>
      </w:r>
    </w:p>
    <w:p w14:paraId="548235E5"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28</w:t>
      </w:r>
      <w:r w:rsidR="00D45B7D">
        <w:rPr>
          <w:rFonts w:ascii="新細明體" w:hAnsi="新細明體" w:hint="eastAsia"/>
        </w:rPr>
        <w:t>點</w:t>
      </w:r>
    </w:p>
    <w:p w14:paraId="4ADB14AC" w14:textId="0BB7688F"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當事人或其委任之律師聲請閱卷時，除有正當理由須另行通知閱覽者外，應即交閱。</w:t>
      </w:r>
    </w:p>
    <w:p w14:paraId="567A2C64"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29</w:t>
      </w:r>
      <w:r w:rsidR="00D45B7D">
        <w:rPr>
          <w:rFonts w:ascii="新細明體" w:hAnsi="新細明體" w:hint="eastAsia"/>
        </w:rPr>
        <w:t>點</w:t>
      </w:r>
    </w:p>
    <w:p w14:paraId="25CFFCFF" w14:textId="5C808F11"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法院對民眾之書面陳訴，宜函復處理結果。對民眾之口頭陳訴，宜由書記官長或相關人員予以接見，並作</w:t>
      </w:r>
      <w:r w:rsidR="00CA2B0C" w:rsidRPr="00D57F5F">
        <w:rPr>
          <w:rFonts w:ascii="Arial Unicode MS" w:hAnsi="Arial Unicode MS" w:hint="eastAsia"/>
          <w:color w:val="5F5F5F"/>
        </w:rPr>
        <w:lastRenderedPageBreak/>
        <w:t>適當處理。</w:t>
      </w:r>
    </w:p>
    <w:p w14:paraId="0616250F"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30</w:t>
      </w:r>
      <w:r w:rsidR="00D45B7D">
        <w:rPr>
          <w:rFonts w:ascii="新細明體" w:hAnsi="新細明體" w:hint="eastAsia"/>
        </w:rPr>
        <w:t>點</w:t>
      </w:r>
    </w:p>
    <w:p w14:paraId="4EBBB027" w14:textId="6B2E007B"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法院應主動利用各種機會，或藉由傳播媒體，加強宣導法律常識，並不定期接待民眾參觀法院，教育民眾法治觀念，以減少假冒司法人員名義破壞司法信譽事件之發生。</w:t>
      </w:r>
    </w:p>
    <w:p w14:paraId="79FD127B"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31</w:t>
      </w:r>
      <w:r w:rsidR="00D45B7D">
        <w:rPr>
          <w:rFonts w:ascii="新細明體" w:hAnsi="新細明體" w:hint="eastAsia"/>
        </w:rPr>
        <w:t>點</w:t>
      </w:r>
    </w:p>
    <w:p w14:paraId="699C77E1" w14:textId="1556B9BF"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法院宜利用適當集會，邀請專家或相關人員，以便民服務為主題，作專題演講。</w:t>
      </w:r>
    </w:p>
    <w:p w14:paraId="2E0C363C"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32</w:t>
      </w:r>
      <w:r w:rsidR="00D45B7D">
        <w:rPr>
          <w:rFonts w:ascii="新細明體" w:hAnsi="新細明體" w:hint="eastAsia"/>
        </w:rPr>
        <w:t>點</w:t>
      </w:r>
    </w:p>
    <w:p w14:paraId="207E3674" w14:textId="3F876375"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本要點執行情形，研考人員應隨時檢查之，發現有違反情事時，應速陳報首長處理，並將檢查結果記載於業務檢查半年報表內層報司法院。上級機關於必要時，得不定期派員抽查執行情形。</w:t>
      </w:r>
    </w:p>
    <w:p w14:paraId="21538C94"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33</w:t>
      </w:r>
      <w:r w:rsidR="00D45B7D">
        <w:rPr>
          <w:rFonts w:ascii="新細明體" w:hAnsi="新細明體" w:hint="eastAsia"/>
        </w:rPr>
        <w:t>點</w:t>
      </w:r>
    </w:p>
    <w:p w14:paraId="68AD747B" w14:textId="25CC1D73"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法院院長應切實督導所屬執行本要點，對執行有功或違反本要點之人員，應適時給予獎懲。</w:t>
      </w:r>
    </w:p>
    <w:p w14:paraId="55FB662F" w14:textId="77777777" w:rsidR="00D45B7D" w:rsidRDefault="00B806A6" w:rsidP="00201384">
      <w:pPr>
        <w:pStyle w:val="2"/>
        <w:rPr>
          <w:rFonts w:ascii="新細明體" w:hAnsi="新細明體" w:hint="eastAsia"/>
        </w:rPr>
      </w:pPr>
      <w:r w:rsidRPr="00B806A6">
        <w:rPr>
          <w:rFonts w:hint="eastAsia"/>
        </w:rPr>
        <w:t>第</w:t>
      </w:r>
      <w:r w:rsidR="00CE29C1">
        <w:rPr>
          <w:rFonts w:hint="eastAsia"/>
        </w:rPr>
        <w:t>34</w:t>
      </w:r>
      <w:r w:rsidR="00D45B7D">
        <w:rPr>
          <w:rFonts w:ascii="新細明體" w:hAnsi="新細明體" w:hint="eastAsia"/>
        </w:rPr>
        <w:t>點</w:t>
      </w:r>
    </w:p>
    <w:p w14:paraId="672FC943" w14:textId="215DFC41" w:rsidR="00CA2B0C" w:rsidRPr="00D57F5F" w:rsidRDefault="00D45B7D" w:rsidP="00CA2B0C">
      <w:pPr>
        <w:ind w:left="142"/>
        <w:jc w:val="both"/>
        <w:rPr>
          <w:rFonts w:ascii="Arial Unicode MS" w:hAnsi="Arial Unicode MS"/>
          <w:color w:val="5F5F5F"/>
        </w:rPr>
      </w:pPr>
      <w:r w:rsidRPr="00D45B7D">
        <w:rPr>
          <w:rFonts w:asciiTheme="minorHAnsi" w:hAnsiTheme="minorHAnsi" w:hint="eastAsia"/>
          <w:color w:val="404040" w:themeColor="text1" w:themeTint="BF"/>
          <w:sz w:val="18"/>
        </w:rPr>
        <w:t>﹝</w:t>
      </w:r>
      <w:r w:rsidRPr="00D45B7D">
        <w:rPr>
          <w:rFonts w:asciiTheme="minorHAnsi" w:hAnsiTheme="minorHAnsi" w:hint="eastAsia"/>
          <w:color w:val="404040" w:themeColor="text1" w:themeTint="BF"/>
          <w:sz w:val="18"/>
        </w:rPr>
        <w:t>1</w:t>
      </w:r>
      <w:r w:rsidRPr="00D45B7D">
        <w:rPr>
          <w:rFonts w:asciiTheme="minorHAnsi" w:hAnsiTheme="minorHAnsi" w:hint="eastAsia"/>
          <w:color w:val="404040" w:themeColor="text1" w:themeTint="BF"/>
          <w:sz w:val="18"/>
        </w:rPr>
        <w:t>﹞</w:t>
      </w:r>
      <w:r w:rsidR="00CA2B0C" w:rsidRPr="00D57F5F">
        <w:rPr>
          <w:rFonts w:ascii="Arial Unicode MS" w:hAnsi="Arial Unicode MS" w:hint="eastAsia"/>
          <w:color w:val="5F5F5F"/>
        </w:rPr>
        <w:t>本要點自下達日實施。</w:t>
      </w:r>
    </w:p>
    <w:p w14:paraId="2F48EEE0" w14:textId="77777777" w:rsidR="00500E6A" w:rsidRPr="00276AA4" w:rsidRDefault="00500E6A" w:rsidP="00215330">
      <w:pPr>
        <w:ind w:left="142"/>
        <w:jc w:val="both"/>
        <w:rPr>
          <w:rFonts w:ascii="Arial Unicode MS" w:hAnsi="Arial Unicode MS"/>
        </w:rPr>
      </w:pPr>
    </w:p>
    <w:p w14:paraId="1C00D18E" w14:textId="77777777" w:rsidR="00500E6A" w:rsidRPr="00276AA4" w:rsidRDefault="00500E6A" w:rsidP="00215330">
      <w:pPr>
        <w:ind w:left="142"/>
        <w:jc w:val="both"/>
        <w:rPr>
          <w:rFonts w:ascii="Arial Unicode MS" w:hAnsi="Arial Unicode MS"/>
        </w:rPr>
      </w:pPr>
    </w:p>
    <w:p w14:paraId="667407AE" w14:textId="77777777" w:rsidR="00080966" w:rsidRPr="002A130B" w:rsidRDefault="00080966" w:rsidP="00080966">
      <w:pPr>
        <w:jc w:val="both"/>
        <w:rPr>
          <w:rFonts w:ascii="Arial Unicode MS" w:hAnsi="Arial Unicode MS" w:cs="新細明體"/>
          <w:color w:val="808080"/>
          <w:sz w:val="18"/>
          <w:szCs w:val="18"/>
        </w:rPr>
      </w:pPr>
      <w:r w:rsidRPr="002A130B">
        <w:rPr>
          <w:rFonts w:ascii="Arial Unicode MS" w:hAnsi="Arial Unicode MS" w:hint="eastAsia"/>
          <w:color w:val="5F5F5F"/>
          <w:sz w:val="18"/>
        </w:rPr>
        <w:t>。。。。。。。。。。。。。。。。。。。。。。。。。。。。。。。。。。。。。。。。。。。。。。。。。。</w:t>
      </w:r>
      <w:hyperlink w:anchor="top" w:history="1">
        <w:hyperlink w:anchor="top" w:history="1">
          <w:r w:rsidRPr="002A130B">
            <w:rPr>
              <w:rStyle w:val="a3"/>
              <w:rFonts w:ascii="Arial Unicode MS" w:hAnsi="Arial Unicode MS" w:hint="eastAsia"/>
              <w:sz w:val="18"/>
            </w:rPr>
            <w:t>回首頁</w:t>
          </w:r>
        </w:hyperlink>
      </w:hyperlink>
      <w:r w:rsidRPr="002A130B">
        <w:rPr>
          <w:rFonts w:ascii="Arial Unicode MS" w:hAnsi="Arial Unicode MS" w:hint="eastAsia"/>
          <w:color w:val="808000"/>
          <w:sz w:val="18"/>
        </w:rPr>
        <w:t>〉〉</w:t>
      </w:r>
    </w:p>
    <w:p w14:paraId="0C5788EA" w14:textId="77777777" w:rsidR="00E64725" w:rsidRPr="00080966" w:rsidRDefault="00080966" w:rsidP="00080966">
      <w:pPr>
        <w:ind w:left="142"/>
        <w:jc w:val="both"/>
        <w:rPr>
          <w:rFonts w:ascii="Arial Unicode MS" w:hAnsi="Arial Unicode MS"/>
          <w:b/>
          <w:bCs/>
          <w:color w:val="800000"/>
        </w:rPr>
      </w:pPr>
      <w:r w:rsidRPr="002A130B">
        <w:rPr>
          <w:rFonts w:ascii="Arial Unicode MS" w:hAnsi="Arial Unicode MS" w:hint="eastAsia"/>
          <w:color w:val="5F5F5F"/>
          <w:sz w:val="18"/>
          <w:szCs w:val="18"/>
        </w:rPr>
        <w:t>【編註】本超連結法規檔提供學習與參考為原則；如需正式引用，請以正式公告版為準。如有發現待更正部份及您所需本站未收編之法規</w:t>
      </w:r>
      <w:r w:rsidRPr="002A130B">
        <w:rPr>
          <w:rFonts w:ascii="Arial Unicode MS" w:hAnsi="Arial Unicode MS" w:hint="eastAsia"/>
          <w:color w:val="5F5F5F"/>
          <w:sz w:val="18"/>
          <w:szCs w:val="20"/>
        </w:rPr>
        <w:t>，</w:t>
      </w:r>
      <w:r w:rsidRPr="002A130B">
        <w:rPr>
          <w:rFonts w:ascii="Arial Unicode MS" w:hAnsi="Arial Unicode MS"/>
          <w:color w:val="5F5F5F"/>
          <w:sz w:val="18"/>
          <w:szCs w:val="20"/>
        </w:rPr>
        <w:t>敬請</w:t>
      </w:r>
      <w:hyperlink r:id="rId19" w:history="1">
        <w:r w:rsidRPr="00AD4E8C">
          <w:rPr>
            <w:rStyle w:val="a3"/>
            <w:rFonts w:ascii="Arial Unicode MS" w:hAnsi="Arial Unicode MS"/>
            <w:sz w:val="18"/>
            <w:szCs w:val="20"/>
          </w:rPr>
          <w:t>告知</w:t>
        </w:r>
      </w:hyperlink>
      <w:r w:rsidRPr="002A130B">
        <w:rPr>
          <w:rFonts w:ascii="Arial Unicode MS" w:hAnsi="Arial Unicode MS" w:hint="eastAsia"/>
          <w:color w:val="5F5F5F"/>
          <w:sz w:val="18"/>
          <w:szCs w:val="20"/>
        </w:rPr>
        <w:t>，謝謝！</w:t>
      </w:r>
    </w:p>
    <w:sectPr w:rsidR="00E64725" w:rsidRPr="00080966">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63457" w14:textId="77777777" w:rsidR="00D3307C" w:rsidRDefault="00D3307C">
      <w:r>
        <w:separator/>
      </w:r>
    </w:p>
  </w:endnote>
  <w:endnote w:type="continuationSeparator" w:id="0">
    <w:p w14:paraId="25C99F01" w14:textId="77777777" w:rsidR="00D3307C" w:rsidRDefault="00D3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D0CB" w14:textId="77777777" w:rsidR="00D3307C" w:rsidRDefault="00D3307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AFAB969" w14:textId="77777777" w:rsidR="00D3307C" w:rsidRDefault="00D3307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8239" w14:textId="77777777" w:rsidR="00D3307C" w:rsidRDefault="00D3307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80966">
      <w:rPr>
        <w:rStyle w:val="a6"/>
        <w:noProof/>
      </w:rPr>
      <w:t>7</w:t>
    </w:r>
    <w:r>
      <w:rPr>
        <w:rStyle w:val="a6"/>
      </w:rPr>
      <w:fldChar w:fldCharType="end"/>
    </w:r>
  </w:p>
  <w:p w14:paraId="00349782" w14:textId="77777777" w:rsidR="00D3307C" w:rsidRPr="00201384" w:rsidRDefault="00080966"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D3307C" w:rsidRPr="00201384">
      <w:rPr>
        <w:rFonts w:ascii="Arial Unicode MS" w:hAnsi="Arial Unicode MS" w:hint="eastAsia"/>
        <w:sz w:val="18"/>
        <w:szCs w:val="18"/>
      </w:rPr>
      <w:t>法院便民禮民實施要點</w:t>
    </w:r>
    <w:r>
      <w:rPr>
        <w:rFonts w:ascii="Arial Unicode MS" w:hAnsi="Arial Unicode MS" w:hint="eastAsia"/>
        <w:sz w:val="18"/>
        <w:szCs w:val="18"/>
      </w:rPr>
      <w:t>〉〉</w:t>
    </w:r>
    <w:r w:rsidR="00D3307C" w:rsidRPr="00201384">
      <w:rPr>
        <w:rFonts w:ascii="Arial Unicode MS" w:hAnsi="Arial Unicode MS" w:hint="eastAsia"/>
        <w:sz w:val="18"/>
        <w:szCs w:val="18"/>
      </w:rPr>
      <w:t>S-link</w:t>
    </w:r>
    <w:r w:rsidR="00D3307C" w:rsidRPr="00201384">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797B" w14:textId="77777777" w:rsidR="00D3307C" w:rsidRDefault="00D3307C">
      <w:r>
        <w:separator/>
      </w:r>
    </w:p>
  </w:footnote>
  <w:footnote w:type="continuationSeparator" w:id="0">
    <w:p w14:paraId="7887D655" w14:textId="77777777" w:rsidR="00D3307C" w:rsidRDefault="00D33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67CA2"/>
    <w:rsid w:val="0001671F"/>
    <w:rsid w:val="00030299"/>
    <w:rsid w:val="00047E1B"/>
    <w:rsid w:val="00080966"/>
    <w:rsid w:val="00092BF5"/>
    <w:rsid w:val="000B01B2"/>
    <w:rsid w:val="000B028F"/>
    <w:rsid w:val="000E6C10"/>
    <w:rsid w:val="00107E34"/>
    <w:rsid w:val="00124899"/>
    <w:rsid w:val="00133E2B"/>
    <w:rsid w:val="00150A90"/>
    <w:rsid w:val="001854BA"/>
    <w:rsid w:val="00196D09"/>
    <w:rsid w:val="001A5666"/>
    <w:rsid w:val="001B0EB8"/>
    <w:rsid w:val="001C199F"/>
    <w:rsid w:val="001D02C0"/>
    <w:rsid w:val="001D2EBB"/>
    <w:rsid w:val="001D6EA6"/>
    <w:rsid w:val="001F17A3"/>
    <w:rsid w:val="00201384"/>
    <w:rsid w:val="00211579"/>
    <w:rsid w:val="00215330"/>
    <w:rsid w:val="00233C8F"/>
    <w:rsid w:val="00237AEB"/>
    <w:rsid w:val="002431DA"/>
    <w:rsid w:val="00250476"/>
    <w:rsid w:val="00255ADB"/>
    <w:rsid w:val="00276AA4"/>
    <w:rsid w:val="002B7149"/>
    <w:rsid w:val="002C77D7"/>
    <w:rsid w:val="002D438F"/>
    <w:rsid w:val="002E398B"/>
    <w:rsid w:val="00307359"/>
    <w:rsid w:val="00324E78"/>
    <w:rsid w:val="0034380D"/>
    <w:rsid w:val="00356A6B"/>
    <w:rsid w:val="00376CE0"/>
    <w:rsid w:val="00392D6B"/>
    <w:rsid w:val="00396441"/>
    <w:rsid w:val="003979A0"/>
    <w:rsid w:val="003A6900"/>
    <w:rsid w:val="003D3CF8"/>
    <w:rsid w:val="004422B7"/>
    <w:rsid w:val="0047742F"/>
    <w:rsid w:val="00494365"/>
    <w:rsid w:val="004A7B4C"/>
    <w:rsid w:val="004B3090"/>
    <w:rsid w:val="004C4985"/>
    <w:rsid w:val="00500E6A"/>
    <w:rsid w:val="00527DA8"/>
    <w:rsid w:val="00560C1F"/>
    <w:rsid w:val="005A3F72"/>
    <w:rsid w:val="005B2086"/>
    <w:rsid w:val="005C252B"/>
    <w:rsid w:val="005E306F"/>
    <w:rsid w:val="005F4624"/>
    <w:rsid w:val="00626245"/>
    <w:rsid w:val="00647B1E"/>
    <w:rsid w:val="006731B7"/>
    <w:rsid w:val="006846C9"/>
    <w:rsid w:val="006962E8"/>
    <w:rsid w:val="0069720E"/>
    <w:rsid w:val="00697B6D"/>
    <w:rsid w:val="006A66C5"/>
    <w:rsid w:val="00701248"/>
    <w:rsid w:val="00715733"/>
    <w:rsid w:val="00752FB2"/>
    <w:rsid w:val="007C11EB"/>
    <w:rsid w:val="007C61E0"/>
    <w:rsid w:val="008016D2"/>
    <w:rsid w:val="00801E84"/>
    <w:rsid w:val="00811FCC"/>
    <w:rsid w:val="00821293"/>
    <w:rsid w:val="00824E90"/>
    <w:rsid w:val="008315AC"/>
    <w:rsid w:val="00841D7C"/>
    <w:rsid w:val="0086558C"/>
    <w:rsid w:val="00874485"/>
    <w:rsid w:val="008A48F1"/>
    <w:rsid w:val="008B325C"/>
    <w:rsid w:val="008C00E5"/>
    <w:rsid w:val="008D1E92"/>
    <w:rsid w:val="008D2B85"/>
    <w:rsid w:val="008F6396"/>
    <w:rsid w:val="0091525B"/>
    <w:rsid w:val="009633B8"/>
    <w:rsid w:val="00982F90"/>
    <w:rsid w:val="009860F8"/>
    <w:rsid w:val="00995418"/>
    <w:rsid w:val="009A320C"/>
    <w:rsid w:val="009C0E12"/>
    <w:rsid w:val="009D2F51"/>
    <w:rsid w:val="009F231E"/>
    <w:rsid w:val="009F26F8"/>
    <w:rsid w:val="009F4099"/>
    <w:rsid w:val="00A12B0C"/>
    <w:rsid w:val="00A208D7"/>
    <w:rsid w:val="00A44CCF"/>
    <w:rsid w:val="00A72615"/>
    <w:rsid w:val="00A8350C"/>
    <w:rsid w:val="00A96BF8"/>
    <w:rsid w:val="00AA1293"/>
    <w:rsid w:val="00AC0DFB"/>
    <w:rsid w:val="00AD28D2"/>
    <w:rsid w:val="00AD4E8C"/>
    <w:rsid w:val="00B07672"/>
    <w:rsid w:val="00B5761A"/>
    <w:rsid w:val="00B67CA2"/>
    <w:rsid w:val="00B73DB2"/>
    <w:rsid w:val="00B806A6"/>
    <w:rsid w:val="00B85B35"/>
    <w:rsid w:val="00B95110"/>
    <w:rsid w:val="00B962FA"/>
    <w:rsid w:val="00BB56D0"/>
    <w:rsid w:val="00BD3C7D"/>
    <w:rsid w:val="00BF3FE4"/>
    <w:rsid w:val="00BF4B7D"/>
    <w:rsid w:val="00C100C5"/>
    <w:rsid w:val="00C11F97"/>
    <w:rsid w:val="00C23280"/>
    <w:rsid w:val="00C25BD7"/>
    <w:rsid w:val="00C45339"/>
    <w:rsid w:val="00C56027"/>
    <w:rsid w:val="00C81AAC"/>
    <w:rsid w:val="00C85CAE"/>
    <w:rsid w:val="00C92561"/>
    <w:rsid w:val="00CA2B0C"/>
    <w:rsid w:val="00CC55B6"/>
    <w:rsid w:val="00CE29C1"/>
    <w:rsid w:val="00CF2D69"/>
    <w:rsid w:val="00D0588D"/>
    <w:rsid w:val="00D3307C"/>
    <w:rsid w:val="00D3786F"/>
    <w:rsid w:val="00D45B7D"/>
    <w:rsid w:val="00D56674"/>
    <w:rsid w:val="00D57F5F"/>
    <w:rsid w:val="00DA2C15"/>
    <w:rsid w:val="00DC06D4"/>
    <w:rsid w:val="00DD6249"/>
    <w:rsid w:val="00E05B98"/>
    <w:rsid w:val="00E14BE4"/>
    <w:rsid w:val="00E16E31"/>
    <w:rsid w:val="00E64725"/>
    <w:rsid w:val="00E75407"/>
    <w:rsid w:val="00E8049A"/>
    <w:rsid w:val="00E91523"/>
    <w:rsid w:val="00E91E9D"/>
    <w:rsid w:val="00E94CF5"/>
    <w:rsid w:val="00EA2A87"/>
    <w:rsid w:val="00EC76E7"/>
    <w:rsid w:val="00EF5A95"/>
    <w:rsid w:val="00F07FF1"/>
    <w:rsid w:val="00F53513"/>
    <w:rsid w:val="00F70F0E"/>
    <w:rsid w:val="00F855BC"/>
    <w:rsid w:val="00F86093"/>
    <w:rsid w:val="00F90CE4"/>
    <w:rsid w:val="00FB2684"/>
    <w:rsid w:val="00FD1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1AFC559"/>
  <w15:docId w15:val="{D66195E4-2AFD-4E2A-9898-392EE557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201384"/>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01384"/>
    <w:rPr>
      <w:rFonts w:ascii="Arial Unicode MS" w:hAnsi="Arial Unicode MS" w:cs="Arial Unicode MS"/>
      <w:b/>
      <w:bCs/>
      <w:color w:val="990000"/>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0998;&#39006;&#27861;&#35215;&#32034;&#24341;02.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https://www.judicial.gov.tw/" TargetMode="External"/><Relationship Id="rId17" Type="http://schemas.openxmlformats.org/officeDocument/2006/relationships/hyperlink" Target="&#27861;&#24237;&#37636;&#38899;&#37636;&#24433;&#21450;&#20854;&#21033;&#29992;&#20445;&#23384;&#36774;&#27861;.docx" TargetMode="External"/><Relationship Id="rId2" Type="http://schemas.openxmlformats.org/officeDocument/2006/relationships/styles" Target="styles.xml"/><Relationship Id="rId16" Type="http://schemas.openxmlformats.org/officeDocument/2006/relationships/hyperlink" Target="&#27861;&#24237;&#26049;&#32893;&#35215;&#21063;.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5" Type="http://schemas.openxmlformats.org/officeDocument/2006/relationships/footnotes" Target="footnotes.xml"/><Relationship Id="rId15" Type="http://schemas.openxmlformats.org/officeDocument/2006/relationships/hyperlink" Target="../law5/&#27861;&#38498;&#20415;&#27665;&#31150;&#27665;&#23526;&#26045;&#35201;&#40670;.docx" TargetMode="External"/><Relationship Id="rId23" Type="http://schemas.openxmlformats.org/officeDocument/2006/relationships/theme" Target="theme/theme1.xml"/><Relationship Id="rId10" Type="http://schemas.openxmlformats.org/officeDocument/2006/relationships/hyperlink" Target="https://law.judicial.gov.tw/FLAW/dat01.aspx?lsid=FL000977&amp;ot=in"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3/&#27861;&#38498;&#20415;&#27665;&#31150;&#27665;&#23526;&#26045;&#35201;&#40670;.htm"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7</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Links>
    <vt:vector size="66" baseType="variant">
      <vt:variant>
        <vt:i4>2949124</vt:i4>
      </vt:variant>
      <vt:variant>
        <vt:i4>30</vt:i4>
      </vt:variant>
      <vt:variant>
        <vt:i4>0</vt:i4>
      </vt:variant>
      <vt:variant>
        <vt:i4>5</vt:i4>
      </vt:variant>
      <vt:variant>
        <vt:lpwstr>mailto:anita399646@hotmail.com</vt:lpwstr>
      </vt:variant>
      <vt:variant>
        <vt:lpwstr/>
      </vt:variant>
      <vt:variant>
        <vt:i4>8192049</vt:i4>
      </vt:variant>
      <vt:variant>
        <vt:i4>27</vt:i4>
      </vt:variant>
      <vt:variant>
        <vt:i4>0</vt:i4>
      </vt:variant>
      <vt:variant>
        <vt:i4>5</vt:i4>
      </vt:variant>
      <vt:variant>
        <vt:lpwstr>http://law.moj.gov.tw/</vt:lpwstr>
      </vt:variant>
      <vt:variant>
        <vt:lpwstr/>
      </vt:variant>
      <vt:variant>
        <vt:i4>6225996</vt:i4>
      </vt:variant>
      <vt:variant>
        <vt:i4>24</vt:i4>
      </vt:variant>
      <vt:variant>
        <vt:i4>0</vt:i4>
      </vt:variant>
      <vt:variant>
        <vt:i4>5</vt:i4>
      </vt:variant>
      <vt:variant>
        <vt:lpwstr>http://www.ly.gov.tw/</vt:lpwstr>
      </vt:variant>
      <vt:variant>
        <vt:lpwstr/>
      </vt:variant>
      <vt:variant>
        <vt:i4>786499</vt:i4>
      </vt:variant>
      <vt:variant>
        <vt:i4>21</vt:i4>
      </vt:variant>
      <vt:variant>
        <vt:i4>0</vt:i4>
      </vt:variant>
      <vt:variant>
        <vt:i4>5</vt:i4>
      </vt:variant>
      <vt:variant>
        <vt:lpwstr>http://www.president.gov.tw/</vt:lpwstr>
      </vt:variant>
      <vt:variant>
        <vt:lpwstr/>
      </vt:variant>
      <vt:variant>
        <vt:i4>7274612</vt:i4>
      </vt:variant>
      <vt:variant>
        <vt:i4>17</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-2000917175</vt:i4>
      </vt:variant>
      <vt:variant>
        <vt:i4>12</vt:i4>
      </vt:variant>
      <vt:variant>
        <vt:i4>0</vt:i4>
      </vt:variant>
      <vt:variant>
        <vt:i4>5</vt:i4>
      </vt:variant>
      <vt:variant>
        <vt:lpwstr>http://www.6law.idv.tw/6law/law3/法院便民禮民實施要點.htm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法院便民禮民實施要點</dc:title>
  <dc:subject/>
  <dc:creator>S-link 電子六法-黃婉玲</dc:creator>
  <cp:keywords/>
  <cp:lastModifiedBy>黃婉玲 S-link電子六法</cp:lastModifiedBy>
  <cp:revision>16</cp:revision>
  <dcterms:created xsi:type="dcterms:W3CDTF">2014-11-27T16:51:00Z</dcterms:created>
  <dcterms:modified xsi:type="dcterms:W3CDTF">2021-11-20T05:52:00Z</dcterms:modified>
</cp:coreProperties>
</file>