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C7" w:rsidRPr="00FB69CA" w:rsidRDefault="00F676C7" w:rsidP="008D3514">
      <w:pPr>
        <w:snapToGrid w:val="0"/>
        <w:ind w:rightChars="8" w:right="16"/>
        <w:jc w:val="right"/>
        <w:rPr>
          <w:rFonts w:ascii="Arial Unicode MS" w:hAnsi="Arial Unicode MS"/>
          <w:sz w:val="18"/>
        </w:rPr>
      </w:pPr>
      <w:hyperlink r:id="rId7" w:tgtFrame="_blank" w:history="1">
        <w:r w:rsidR="00155290">
          <w:rPr>
            <w:rFonts w:ascii="Arial Unicode MS" w:hAnsi="Arial Unicode MS"/>
            <w:noProof/>
            <w:sz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8" o:title="6lawr"/>
            </v:shape>
          </w:pict>
        </w:r>
      </w:hyperlink>
    </w:p>
    <w:p w:rsidR="00F676C7" w:rsidRPr="00FB69CA" w:rsidRDefault="00F676C7" w:rsidP="008D3514">
      <w:pPr>
        <w:tabs>
          <w:tab w:val="left" w:pos="9498"/>
        </w:tabs>
        <w:snapToGrid w:val="0"/>
        <w:ind w:left="9497" w:rightChars="8" w:right="16" w:hangingChars="5276" w:hanging="9497"/>
        <w:jc w:val="right"/>
        <w:rPr>
          <w:color w:val="7F7F7F"/>
          <w:sz w:val="18"/>
        </w:rPr>
      </w:pPr>
      <w:bookmarkStart w:id="0" w:name="top"/>
      <w:bookmarkEnd w:id="0"/>
      <w:r w:rsidRPr="00FB69CA">
        <w:rPr>
          <w:rFonts w:hint="eastAsia"/>
          <w:color w:val="5F5F5F"/>
          <w:sz w:val="18"/>
          <w:lang w:val="zh-TW"/>
        </w:rPr>
        <w:t>【</w:t>
      </w:r>
      <w:hyperlink r:id="rId9" w:tgtFrame="_blank" w:history="1">
        <w:r w:rsidRPr="008D3514">
          <w:rPr>
            <w:rStyle w:val="a3"/>
            <w:sz w:val="18"/>
          </w:rPr>
          <w:t>更新</w:t>
        </w:r>
      </w:hyperlink>
      <w:r w:rsidRPr="00FB69CA">
        <w:rPr>
          <w:rFonts w:hint="eastAsia"/>
          <w:color w:val="7F7F7F"/>
          <w:sz w:val="18"/>
          <w:lang w:val="zh-TW"/>
        </w:rPr>
        <w:t>】</w:t>
      </w:r>
      <w:r w:rsidR="008D3514">
        <w:rPr>
          <w:rFonts w:ascii="Arial Unicode MS" w:hAnsi="Arial Unicode MS"/>
          <w:color w:val="5F5F5F"/>
          <w:sz w:val="18"/>
        </w:rPr>
        <w:t>2015/10/6</w:t>
      </w:r>
      <w:r w:rsidRPr="00FB69CA">
        <w:rPr>
          <w:rFonts w:hint="eastAsia"/>
          <w:color w:val="7F7F7F"/>
          <w:sz w:val="18"/>
          <w:lang w:val="zh-TW"/>
        </w:rPr>
        <w:t>【</w:t>
      </w:r>
      <w:hyperlink r:id="rId10" w:history="1">
        <w:r w:rsidRPr="002F601B">
          <w:rPr>
            <w:rStyle w:val="a3"/>
            <w:rFonts w:ascii="Times New Roman" w:hAnsi="Times New Roman" w:hint="eastAsia"/>
            <w:color w:val="5F5F5F"/>
            <w:sz w:val="18"/>
            <w:u w:val="none"/>
          </w:rPr>
          <w:t>編輯著作權者</w:t>
        </w:r>
      </w:hyperlink>
      <w:r w:rsidRPr="00FB69CA">
        <w:rPr>
          <w:rFonts w:hint="eastAsia"/>
          <w:color w:val="7F7F7F"/>
          <w:sz w:val="18"/>
          <w:lang w:val="zh-TW"/>
        </w:rPr>
        <w:t>】</w:t>
      </w:r>
      <w:hyperlink r:id="rId11" w:tgtFrame="_blank" w:history="1">
        <w:r w:rsidRPr="00FB69CA">
          <w:rPr>
            <w:rStyle w:val="a3"/>
            <w:color w:val="7F7F7F"/>
            <w:sz w:val="18"/>
          </w:rPr>
          <w:t>黃婉玲</w:t>
        </w:r>
      </w:hyperlink>
    </w:p>
    <w:p w:rsidR="00F676C7" w:rsidRPr="00FB69CA" w:rsidRDefault="00F676C7" w:rsidP="00F676C7">
      <w:pPr>
        <w:snapToGrid w:val="0"/>
        <w:jc w:val="right"/>
        <w:rPr>
          <w:color w:val="808000"/>
          <w:sz w:val="18"/>
        </w:rPr>
      </w:pPr>
      <w:r>
        <w:rPr>
          <w:rFonts w:ascii="新細明體" w:cs="新細明體" w:hint="eastAsia"/>
          <w:color w:val="808000"/>
          <w:sz w:val="18"/>
          <w:szCs w:val="18"/>
          <w:lang w:val="zh-TW"/>
        </w:rPr>
        <w:t>（建議使用工具列</w:t>
      </w:r>
      <w:r>
        <w:rPr>
          <w:rFonts w:ascii="Wingdings" w:hAnsi="Wingdings" w:cs="Wingdings"/>
          <w:color w:val="808000"/>
          <w:sz w:val="18"/>
          <w:szCs w:val="18"/>
        </w:rPr>
        <w:t></w:t>
      </w:r>
      <w:r>
        <w:rPr>
          <w:rFonts w:ascii="新細明體" w:hAnsi="Wingdings" w:cs="新細明體" w:hint="eastAsia"/>
          <w:color w:val="808000"/>
          <w:sz w:val="18"/>
          <w:szCs w:val="18"/>
          <w:lang w:val="zh-TW"/>
        </w:rPr>
        <w:t>檢視</w:t>
      </w:r>
      <w:r>
        <w:rPr>
          <w:rFonts w:ascii="Wingdings" w:hAnsi="Wingdings" w:cs="Wingdings"/>
          <w:color w:val="808000"/>
          <w:sz w:val="18"/>
          <w:szCs w:val="18"/>
        </w:rPr>
        <w:t></w:t>
      </w:r>
      <w:r>
        <w:rPr>
          <w:rFonts w:ascii="新細明體" w:hAnsi="Wingdings" w:cs="新細明體" w:hint="eastAsia"/>
          <w:color w:val="808000"/>
          <w:sz w:val="18"/>
          <w:szCs w:val="18"/>
          <w:lang w:val="zh-TW"/>
        </w:rPr>
        <w:t>文件引導模式</w:t>
      </w:r>
      <w:r>
        <w:rPr>
          <w:color w:val="808000"/>
          <w:sz w:val="18"/>
          <w:szCs w:val="18"/>
        </w:rPr>
        <w:t>/</w:t>
      </w:r>
      <w:hyperlink r:id="rId12" w:history="1">
        <w:r w:rsidRPr="009E4619">
          <w:rPr>
            <w:rStyle w:val="a3"/>
            <w:rFonts w:hAnsi="Times New Roman" w:cs="新細明體" w:hint="eastAsia"/>
            <w:sz w:val="18"/>
            <w:szCs w:val="18"/>
            <w:u w:val="none"/>
            <w:lang w:val="zh-TW"/>
          </w:rPr>
          <w:t>功能</w:t>
        </w:r>
        <w:r w:rsidRPr="009E4619">
          <w:rPr>
            <w:rStyle w:val="a3"/>
            <w:rFonts w:hAnsi="Times New Roman" w:cs="新細明體" w:hint="eastAsia"/>
            <w:sz w:val="18"/>
            <w:szCs w:val="18"/>
            <w:u w:val="none"/>
            <w:lang w:val="zh-TW"/>
          </w:rPr>
          <w:t>窗</w:t>
        </w:r>
        <w:r w:rsidRPr="009E4619">
          <w:rPr>
            <w:rStyle w:val="a3"/>
            <w:rFonts w:hAnsi="Times New Roman" w:cs="新細明體" w:hint="eastAsia"/>
            <w:sz w:val="18"/>
            <w:szCs w:val="18"/>
            <w:u w:val="none"/>
            <w:lang w:val="zh-TW"/>
          </w:rPr>
          <w:t>格</w:t>
        </w:r>
      </w:hyperlink>
      <w:r>
        <w:rPr>
          <w:rFonts w:ascii="新細明體" w:cs="新細明體" w:hint="eastAsia"/>
          <w:color w:val="808000"/>
          <w:sz w:val="18"/>
          <w:szCs w:val="18"/>
          <w:lang w:val="zh-TW"/>
        </w:rPr>
        <w:t>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6105"/>
        <w:gridCol w:w="2702"/>
      </w:tblGrid>
      <w:tr w:rsidR="00E51FB8" w:rsidRPr="001D027B" w:rsidTr="008D3514">
        <w:trPr>
          <w:cantSplit/>
          <w:tblCellSpacing w:w="0" w:type="dxa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E51FB8" w:rsidRPr="001D027B" w:rsidRDefault="00164231" w:rsidP="008D3514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766BC6">
              <w:rPr>
                <w:rFonts w:ascii="Arial Unicode MS" w:hAnsi="Arial Unicode MS"/>
                <w:b/>
                <w:bCs/>
                <w:color w:val="FFFFFF"/>
                <w:szCs w:val="20"/>
              </w:rPr>
              <w:t>法</w:t>
            </w:r>
            <w:r w:rsidRPr="00766BC6">
              <w:rPr>
                <w:rFonts w:ascii="Arial Unicode MS" w:hAnsi="Arial Unicode MS" w:hint="eastAsia"/>
                <w:b/>
                <w:bCs/>
                <w:color w:val="FFFFFF"/>
                <w:szCs w:val="20"/>
              </w:rPr>
              <w:t>規名稱</w:t>
            </w:r>
          </w:p>
        </w:tc>
        <w:tc>
          <w:tcPr>
            <w:tcW w:w="3032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E51FB8" w:rsidRPr="008D3514" w:rsidRDefault="008D3514" w:rsidP="001D027B">
            <w:pPr>
              <w:jc w:val="center"/>
              <w:rPr>
                <w:rFonts w:eastAsia="標楷體"/>
                <w:bCs/>
                <w:shadow/>
                <w:color w:val="993366"/>
                <w:sz w:val="32"/>
              </w:rPr>
            </w:pPr>
            <w:r w:rsidRPr="008D3514">
              <w:rPr>
                <w:rFonts w:eastAsia="標楷體" w:hint="eastAsia"/>
                <w:shadow/>
                <w:color w:val="993366"/>
                <w:sz w:val="32"/>
              </w:rPr>
              <w:t>廢</w:t>
            </w:r>
            <w:r w:rsidRPr="008D3514">
              <w:rPr>
                <w:rFonts w:eastAsia="標楷體" w:hint="eastAsia"/>
                <w:shadow/>
                <w:color w:val="993366"/>
                <w:sz w:val="32"/>
              </w:rPr>
              <w:t>:</w:t>
            </w:r>
            <w:r w:rsidR="00E51FB8" w:rsidRPr="008D3514">
              <w:rPr>
                <w:rFonts w:eastAsia="標楷體"/>
                <w:shadow/>
                <w:color w:val="993366"/>
                <w:sz w:val="32"/>
              </w:rPr>
              <w:t>高級中學法施行細則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E51FB8" w:rsidRPr="008D3514" w:rsidRDefault="00E51FB8" w:rsidP="008D3514">
            <w:pPr>
              <w:ind w:leftChars="-6" w:left="-12"/>
              <w:jc w:val="both"/>
              <w:rPr>
                <w:rFonts w:ascii="Arial Unicode MS" w:hAnsi="Arial Unicode MS"/>
                <w:color w:val="993366"/>
              </w:rPr>
            </w:pPr>
            <w:r w:rsidRPr="008D3514">
              <w:rPr>
                <w:rFonts w:ascii="Arial Unicode MS" w:hAnsi="Arial Unicode MS"/>
                <w:color w:val="993366"/>
              </w:rPr>
              <w:t>【公布日期】</w:t>
            </w:r>
            <w:r w:rsidR="00864C7C" w:rsidRPr="00864C7C">
              <w:rPr>
                <w:rFonts w:ascii="Arial Unicode MS" w:eastAsia="Arial Unicode MS" w:cs="Arial Unicode MS"/>
                <w:color w:val="993366"/>
                <w:szCs w:val="20"/>
                <w:lang w:val="zh-TW"/>
              </w:rPr>
              <w:t>104.09.</w:t>
            </w:r>
            <w:r w:rsidR="00864C7C" w:rsidRPr="00864C7C">
              <w:rPr>
                <w:rFonts w:ascii="Arial Unicode MS" w:eastAsia="Arial Unicode MS" w:cs="Arial Unicode MS" w:hint="eastAsia"/>
                <w:color w:val="993366"/>
                <w:szCs w:val="20"/>
                <w:lang w:val="zh-TW"/>
              </w:rPr>
              <w:t>22</w:t>
            </w:r>
          </w:p>
          <w:p w:rsidR="00E51FB8" w:rsidRPr="008D3514" w:rsidRDefault="00E51FB8" w:rsidP="008D3514">
            <w:pPr>
              <w:ind w:leftChars="-6" w:left="-12"/>
              <w:jc w:val="both"/>
              <w:rPr>
                <w:rFonts w:ascii="Arial Unicode MS" w:hAnsi="Arial Unicode MS"/>
                <w:color w:val="993366"/>
              </w:rPr>
            </w:pPr>
            <w:r w:rsidRPr="008D3514">
              <w:rPr>
                <w:rFonts w:ascii="Arial Unicode MS" w:hAnsi="Arial Unicode MS"/>
                <w:color w:val="993366"/>
              </w:rPr>
              <w:t>【公布機關】教育部</w:t>
            </w:r>
          </w:p>
        </w:tc>
      </w:tr>
    </w:tbl>
    <w:p w:rsidR="00E51FB8" w:rsidRPr="001D027B" w:rsidRDefault="00164231" w:rsidP="00553099">
      <w:pPr>
        <w:jc w:val="center"/>
        <w:rPr>
          <w:rFonts w:ascii="Arial Unicode MS" w:hAnsi="Arial Unicode MS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3" w:anchor="高級中學法施行細則" w:history="1">
        <w:r w:rsidRPr="007E576E">
          <w:rPr>
            <w:rStyle w:val="a3"/>
            <w:rFonts w:ascii="Arial Unicode MS" w:hAnsi="Arial Unicode MS" w:hint="eastAsia"/>
            <w:sz w:val="18"/>
          </w:rPr>
          <w:t>S</w:t>
        </w:r>
        <w:r w:rsidRPr="007E576E">
          <w:rPr>
            <w:rStyle w:val="a3"/>
            <w:rFonts w:ascii="Arial Unicode MS" w:hAnsi="Arial Unicode MS" w:hint="eastAsia"/>
            <w:sz w:val="18"/>
          </w:rPr>
          <w:t>-</w:t>
        </w:r>
        <w:r w:rsidRPr="007E576E">
          <w:rPr>
            <w:rStyle w:val="a3"/>
            <w:rFonts w:ascii="Arial Unicode MS" w:hAnsi="Arial Unicode MS" w:hint="eastAsia"/>
            <w:sz w:val="18"/>
          </w:rPr>
          <w:t>lin</w:t>
        </w:r>
        <w:r w:rsidRPr="007E576E">
          <w:rPr>
            <w:rStyle w:val="a3"/>
            <w:rFonts w:ascii="Arial Unicode MS" w:hAnsi="Arial Unicode MS" w:hint="eastAsia"/>
            <w:sz w:val="18"/>
          </w:rPr>
          <w:t>k</w:t>
        </w:r>
        <w:r w:rsidRPr="007E576E">
          <w:rPr>
            <w:rStyle w:val="a3"/>
            <w:rFonts w:ascii="Arial Unicode MS" w:hAnsi="Arial Unicode MS" w:hint="eastAsia"/>
            <w:sz w:val="18"/>
          </w:rPr>
          <w:t>索</w:t>
        </w:r>
        <w:r w:rsidRPr="007E576E">
          <w:rPr>
            <w:rStyle w:val="a3"/>
            <w:rFonts w:ascii="Arial Unicode MS" w:hAnsi="Arial Unicode MS" w:hint="eastAsia"/>
            <w:sz w:val="18"/>
          </w:rPr>
          <w:t>引</w:t>
        </w:r>
      </w:hyperlink>
      <w:hyperlink r:id="rId14" w:anchor="高級中學法施行細則" w:history="1">
        <w:r w:rsidRPr="002F601B">
          <w:rPr>
            <w:rStyle w:val="a3"/>
            <w:rFonts w:ascii="Arial Unicode MS" w:hAnsi="Arial Unicode MS" w:hint="eastAsia"/>
            <w:b/>
            <w:color w:val="FF6600"/>
            <w:sz w:val="18"/>
            <w:u w:val="none"/>
          </w:rPr>
          <w:t>&gt;</w:t>
        </w:r>
        <w:bookmarkStart w:id="1" w:name="_GoBack"/>
        <w:r w:rsidRPr="002F601B">
          <w:rPr>
            <w:rStyle w:val="a3"/>
            <w:rFonts w:ascii="Arial Unicode MS" w:hAnsi="Arial Unicode MS" w:hint="eastAsia"/>
            <w:b/>
            <w:color w:val="FF6600"/>
            <w:sz w:val="18"/>
            <w:u w:val="none"/>
          </w:rPr>
          <w:t>&gt;</w:t>
        </w:r>
        <w:bookmarkEnd w:id="1"/>
      </w:hyperlink>
      <w:hyperlink r:id="rId15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E51FB8" w:rsidRPr="008D3514" w:rsidRDefault="00E51FB8" w:rsidP="00AC57B6">
      <w:pPr>
        <w:pStyle w:val="1"/>
        <w:snapToGrid w:val="0"/>
        <w:spacing w:before="100" w:beforeAutospacing="1" w:after="100" w:afterAutospacing="1"/>
        <w:textAlignment w:val="auto"/>
        <w:rPr>
          <w:color w:val="auto"/>
        </w:rPr>
      </w:pPr>
      <w:r w:rsidRPr="008D3514">
        <w:rPr>
          <w:color w:val="auto"/>
        </w:rPr>
        <w:t>【</w:t>
      </w:r>
      <w:r w:rsidRPr="008D3514">
        <w:rPr>
          <w:rFonts w:hint="eastAsia"/>
          <w:color w:val="auto"/>
        </w:rPr>
        <w:t>法規沿革</w:t>
      </w:r>
      <w:r w:rsidRPr="008D3514">
        <w:rPr>
          <w:color w:val="auto"/>
        </w:rPr>
        <w:t>】</w:t>
      </w:r>
    </w:p>
    <w:p w:rsidR="00E51FB8" w:rsidRPr="001D027B" w:rsidRDefault="00E51FB8">
      <w:pPr>
        <w:ind w:firstLineChars="100" w:firstLine="180"/>
        <w:rPr>
          <w:rFonts w:ascii="Arial Unicode MS" w:hAnsi="Arial Unicode MS"/>
          <w:color w:val="000000"/>
          <w:sz w:val="18"/>
        </w:rPr>
      </w:pPr>
      <w:r w:rsidRPr="00AC57B6">
        <w:rPr>
          <w:rFonts w:ascii="Arial Unicode MS" w:hAnsi="Arial Unicode MS"/>
          <w:b/>
          <w:color w:val="000000"/>
          <w:sz w:val="18"/>
        </w:rPr>
        <w:t>1</w:t>
      </w:r>
      <w:r w:rsidR="0014195B" w:rsidRPr="0014195B">
        <w:rPr>
          <w:rFonts w:ascii="新細明體" w:hAnsi="新細明體"/>
        </w:rPr>
        <w:t>‧</w:t>
      </w:r>
      <w:r w:rsidRPr="001D027B">
        <w:rPr>
          <w:rFonts w:ascii="Arial Unicode MS" w:hAnsi="Arial Unicode MS"/>
          <w:color w:val="000000"/>
          <w:sz w:val="18"/>
        </w:rPr>
        <w:t>中華民國八十九年八月四日教育部</w:t>
      </w:r>
      <w:r w:rsidR="00AC57B6">
        <w:rPr>
          <w:rFonts w:ascii="Arial Unicode MS" w:hAnsi="Arial Unicode MS"/>
          <w:color w:val="000000"/>
          <w:sz w:val="18"/>
        </w:rPr>
        <w:t>（</w:t>
      </w:r>
      <w:r w:rsidRPr="001D027B">
        <w:rPr>
          <w:rFonts w:ascii="Arial Unicode MS" w:hAnsi="Arial Unicode MS"/>
          <w:color w:val="000000"/>
          <w:sz w:val="18"/>
        </w:rPr>
        <w:t>89</w:t>
      </w:r>
      <w:r w:rsidR="00AC57B6">
        <w:rPr>
          <w:rFonts w:ascii="Arial Unicode MS" w:hAnsi="Arial Unicode MS"/>
          <w:color w:val="000000"/>
          <w:sz w:val="18"/>
        </w:rPr>
        <w:t>）</w:t>
      </w:r>
      <w:r w:rsidRPr="001D027B">
        <w:rPr>
          <w:rFonts w:ascii="Arial Unicode MS" w:hAnsi="Arial Unicode MS"/>
          <w:color w:val="000000"/>
          <w:sz w:val="18"/>
        </w:rPr>
        <w:t>台參字第</w:t>
      </w:r>
      <w:r w:rsidRPr="001D027B">
        <w:rPr>
          <w:rFonts w:ascii="Arial Unicode MS" w:hAnsi="Arial Unicode MS"/>
          <w:color w:val="000000"/>
          <w:sz w:val="18"/>
        </w:rPr>
        <w:t>89097275</w:t>
      </w:r>
      <w:r w:rsidRPr="001D027B">
        <w:rPr>
          <w:rFonts w:ascii="Arial Unicode MS" w:hAnsi="Arial Unicode MS"/>
          <w:color w:val="000000"/>
          <w:sz w:val="18"/>
        </w:rPr>
        <w:t>號令訂定發布全文</w:t>
      </w:r>
      <w:r w:rsidRPr="001D027B">
        <w:rPr>
          <w:rFonts w:ascii="Arial Unicode MS" w:hAnsi="Arial Unicode MS"/>
          <w:color w:val="000000"/>
          <w:sz w:val="18"/>
        </w:rPr>
        <w:t>20</w:t>
      </w:r>
      <w:r w:rsidRPr="001D027B">
        <w:rPr>
          <w:rFonts w:ascii="Arial Unicode MS" w:hAnsi="Arial Unicode MS"/>
          <w:color w:val="000000"/>
          <w:sz w:val="18"/>
        </w:rPr>
        <w:t>條；並自發布日起施行</w:t>
      </w:r>
    </w:p>
    <w:p w:rsidR="008D3514" w:rsidRDefault="00E51FB8" w:rsidP="008D3514">
      <w:pPr>
        <w:ind w:firstLineChars="100" w:firstLine="180"/>
        <w:jc w:val="both"/>
        <w:rPr>
          <w:rFonts w:ascii="Arial Unicode MS" w:hAnsi="Arial Unicode MS" w:hint="eastAsia"/>
          <w:sz w:val="18"/>
        </w:rPr>
      </w:pPr>
      <w:r w:rsidRPr="00AC57B6">
        <w:rPr>
          <w:rFonts w:ascii="Arial Unicode MS" w:hAnsi="Arial Unicode MS"/>
          <w:b/>
          <w:sz w:val="18"/>
        </w:rPr>
        <w:t>2</w:t>
      </w:r>
      <w:r w:rsidR="00B400FA" w:rsidRPr="0014195B">
        <w:rPr>
          <w:rFonts w:ascii="新細明體" w:hAnsi="新細明體"/>
        </w:rPr>
        <w:t>‧</w:t>
      </w:r>
      <w:r w:rsidRPr="001D027B">
        <w:rPr>
          <w:rFonts w:ascii="Arial Unicode MS" w:hAnsi="Arial Unicode MS"/>
          <w:sz w:val="18"/>
        </w:rPr>
        <w:t>中華民國九十三年一月二十九日教育部台參字第</w:t>
      </w:r>
      <w:r w:rsidRPr="001D027B">
        <w:rPr>
          <w:rFonts w:ascii="Arial Unicode MS" w:hAnsi="Arial Unicode MS"/>
          <w:sz w:val="18"/>
        </w:rPr>
        <w:t>0930010155A</w:t>
      </w:r>
      <w:r w:rsidRPr="001D027B">
        <w:rPr>
          <w:rFonts w:ascii="Arial Unicode MS" w:hAnsi="Arial Unicode MS"/>
          <w:sz w:val="18"/>
        </w:rPr>
        <w:t>號令修正發布</w:t>
      </w:r>
      <w:hyperlink w:anchor="a8" w:history="1">
        <w:r w:rsidRPr="001D027B">
          <w:rPr>
            <w:rStyle w:val="a3"/>
            <w:rFonts w:ascii="Arial Unicode MS" w:hAnsi="Arial Unicode MS"/>
            <w:sz w:val="18"/>
          </w:rPr>
          <w:t>第</w:t>
        </w:r>
        <w:r w:rsidRPr="001D027B">
          <w:rPr>
            <w:rStyle w:val="a3"/>
            <w:rFonts w:ascii="Arial Unicode MS" w:hAnsi="Arial Unicode MS"/>
            <w:sz w:val="18"/>
          </w:rPr>
          <w:t>8</w:t>
        </w:r>
        <w:r w:rsidRPr="001D027B">
          <w:rPr>
            <w:rStyle w:val="a3"/>
            <w:rFonts w:ascii="Arial Unicode MS" w:hAnsi="Arial Unicode MS"/>
            <w:sz w:val="18"/>
          </w:rPr>
          <w:t>條</w:t>
        </w:r>
      </w:hyperlink>
      <w:r w:rsidRPr="001D027B">
        <w:rPr>
          <w:rFonts w:ascii="Arial Unicode MS" w:hAnsi="Arial Unicode MS"/>
          <w:sz w:val="18"/>
        </w:rPr>
        <w:t>條文；並刪除</w:t>
      </w:r>
      <w:hyperlink w:anchor="a10" w:history="1">
        <w:r w:rsidRPr="001D027B">
          <w:rPr>
            <w:rStyle w:val="a3"/>
            <w:rFonts w:ascii="Arial Unicode MS" w:hAnsi="Arial Unicode MS"/>
            <w:sz w:val="18"/>
          </w:rPr>
          <w:t>第</w:t>
        </w:r>
        <w:r w:rsidRPr="001D027B">
          <w:rPr>
            <w:rStyle w:val="a3"/>
            <w:rFonts w:ascii="Arial Unicode MS" w:hAnsi="Arial Unicode MS"/>
            <w:sz w:val="18"/>
          </w:rPr>
          <w:t>10</w:t>
        </w:r>
        <w:r w:rsidRPr="001D027B">
          <w:rPr>
            <w:rStyle w:val="a3"/>
            <w:rFonts w:ascii="Arial Unicode MS" w:hAnsi="Arial Unicode MS"/>
            <w:sz w:val="18"/>
          </w:rPr>
          <w:t>條</w:t>
        </w:r>
      </w:hyperlink>
      <w:r w:rsidRPr="001D027B">
        <w:rPr>
          <w:rFonts w:ascii="Arial Unicode MS" w:hAnsi="Arial Unicode MS"/>
          <w:sz w:val="18"/>
        </w:rPr>
        <w:t>條文</w:t>
      </w:r>
    </w:p>
    <w:p w:rsidR="00E51FB8" w:rsidRPr="001D027B" w:rsidRDefault="008D3514" w:rsidP="008D3514">
      <w:pPr>
        <w:ind w:firstLineChars="100" w:firstLine="180"/>
        <w:jc w:val="both"/>
        <w:rPr>
          <w:rFonts w:ascii="Arial Unicode MS" w:hAnsi="Arial Unicode MS"/>
        </w:rPr>
      </w:pPr>
      <w:r w:rsidRPr="008D3514">
        <w:rPr>
          <w:rFonts w:ascii="Arial Unicode MS" w:hAnsi="Arial Unicode MS" w:hint="eastAsia"/>
          <w:b/>
          <w:sz w:val="18"/>
        </w:rPr>
        <w:t>3</w:t>
      </w:r>
      <w:r w:rsidRPr="008D3514">
        <w:rPr>
          <w:rFonts w:ascii="Arial Unicode MS" w:hAnsi="Arial Unicode MS" w:hint="eastAsia"/>
          <w:b/>
          <w:sz w:val="18"/>
        </w:rPr>
        <w:t>‧</w:t>
      </w:r>
      <w:r w:rsidRPr="008D3514">
        <w:rPr>
          <w:rFonts w:ascii="Arial Unicode MS" w:hAnsi="Arial Unicode MS" w:hint="eastAsia"/>
          <w:sz w:val="18"/>
        </w:rPr>
        <w:t>中華民國一百零四年九月二十二日教育部臺教授國部字第</w:t>
      </w:r>
      <w:r w:rsidRPr="008D3514">
        <w:rPr>
          <w:rFonts w:ascii="Arial Unicode MS" w:hAnsi="Arial Unicode MS" w:hint="eastAsia"/>
          <w:sz w:val="18"/>
        </w:rPr>
        <w:t>1040096940B</w:t>
      </w:r>
      <w:r w:rsidRPr="008D3514">
        <w:rPr>
          <w:rFonts w:ascii="Arial Unicode MS" w:hAnsi="Arial Unicode MS" w:hint="eastAsia"/>
          <w:sz w:val="18"/>
        </w:rPr>
        <w:t>號令發布廢止</w:t>
      </w:r>
    </w:p>
    <w:p w:rsidR="00E51FB8" w:rsidRPr="001D027B" w:rsidRDefault="00E51FB8" w:rsidP="008D3514"/>
    <w:p w:rsidR="00E51FB8" w:rsidRPr="008D3514" w:rsidRDefault="00E51FB8" w:rsidP="00AC57B6">
      <w:pPr>
        <w:pStyle w:val="1"/>
        <w:snapToGrid w:val="0"/>
        <w:spacing w:before="100" w:beforeAutospacing="1" w:after="100" w:afterAutospacing="1"/>
        <w:textAlignment w:val="auto"/>
        <w:rPr>
          <w:color w:val="auto"/>
        </w:rPr>
      </w:pPr>
      <w:r w:rsidRPr="008D3514">
        <w:rPr>
          <w:color w:val="auto"/>
        </w:rPr>
        <w:t>【</w:t>
      </w:r>
      <w:r w:rsidRPr="008D3514">
        <w:rPr>
          <w:rFonts w:hint="eastAsia"/>
          <w:color w:val="auto"/>
        </w:rPr>
        <w:t>法規內容</w:t>
      </w:r>
      <w:r w:rsidRPr="008D3514">
        <w:rPr>
          <w:color w:val="auto"/>
        </w:rPr>
        <w:t>】</w:t>
      </w:r>
    </w:p>
    <w:p w:rsidR="00E51FB8" w:rsidRPr="008D3514" w:rsidRDefault="00F676C7" w:rsidP="008D3514">
      <w:pPr>
        <w:pStyle w:val="2"/>
      </w:pPr>
      <w:r w:rsidRPr="008D3514">
        <w:t>第</w:t>
      </w:r>
      <w:r w:rsidRPr="008D3514">
        <w:t>1</w:t>
      </w:r>
      <w:r w:rsidRPr="008D3514"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本細則依高級中學法（以下簡稱本法）第</w:t>
      </w:r>
      <w:hyperlink r:id="rId16" w:anchor="a30" w:history="1">
        <w:r w:rsidRPr="001D027B">
          <w:rPr>
            <w:rStyle w:val="a3"/>
            <w:rFonts w:ascii="Arial Unicode MS" w:hAnsi="Arial Unicode MS"/>
          </w:rPr>
          <w:t>三十</w:t>
        </w:r>
      </w:hyperlink>
      <w:r w:rsidRPr="001D027B">
        <w:rPr>
          <w:rFonts w:ascii="Arial Unicode MS" w:hAnsi="Arial Unicode MS"/>
          <w:color w:val="333333"/>
        </w:rPr>
        <w:t>條規定訂定之。</w:t>
      </w:r>
    </w:p>
    <w:p w:rsidR="00E51FB8" w:rsidRPr="001D027B" w:rsidRDefault="00F676C7" w:rsidP="008D3514">
      <w:pPr>
        <w:pStyle w:val="2"/>
      </w:pPr>
      <w:r>
        <w:t>第</w:t>
      </w:r>
      <w:r>
        <w:t>2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高級中學依本法</w:t>
      </w:r>
      <w:hyperlink r:id="rId17" w:anchor="a3" w:history="1">
        <w:r w:rsidRPr="001D027B">
          <w:rPr>
            <w:rStyle w:val="a3"/>
            <w:rFonts w:ascii="Arial Unicode MS" w:hAnsi="Arial Unicode MS"/>
          </w:rPr>
          <w:t>第三條</w:t>
        </w:r>
      </w:hyperlink>
      <w:r w:rsidRPr="001D027B">
        <w:rPr>
          <w:rFonts w:ascii="Arial Unicode MS" w:hAnsi="Arial Unicode MS"/>
          <w:color w:val="333333"/>
        </w:rPr>
        <w:t>第一項規定辦理招生入學，應由各校單獨或聯合組織招生委員會辦理之；其招生計畫及招生簡章，由招生委員會擬訂，報請該管主管教育行政機關核定後實施。</w:t>
      </w:r>
    </w:p>
    <w:p w:rsidR="00E51FB8" w:rsidRPr="001D027B" w:rsidRDefault="00F676C7" w:rsidP="008D3514">
      <w:pPr>
        <w:pStyle w:val="2"/>
      </w:pPr>
      <w:r>
        <w:t>第</w:t>
      </w:r>
      <w:r>
        <w:t>3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本法</w:t>
      </w:r>
      <w:hyperlink r:id="rId18" w:anchor="a3" w:history="1">
        <w:r w:rsidRPr="001D027B">
          <w:rPr>
            <w:rStyle w:val="a3"/>
            <w:rFonts w:ascii="Arial Unicode MS" w:hAnsi="Arial Unicode MS"/>
          </w:rPr>
          <w:t>第三條</w:t>
        </w:r>
      </w:hyperlink>
      <w:r w:rsidRPr="001D027B">
        <w:rPr>
          <w:rFonts w:ascii="Arial Unicode MS" w:hAnsi="Arial Unicode MS"/>
          <w:color w:val="333333"/>
        </w:rPr>
        <w:t>第二項所定高級中學修業年限，除法令另有規定外，以三年為原則。必要時得延長二年。</w:t>
      </w:r>
    </w:p>
    <w:p w:rsidR="00E51FB8" w:rsidRPr="001D027B" w:rsidRDefault="00F676C7" w:rsidP="008D3514">
      <w:pPr>
        <w:pStyle w:val="2"/>
      </w:pPr>
      <w:bookmarkStart w:id="2" w:name="a4"/>
      <w:bookmarkEnd w:id="2"/>
      <w:r>
        <w:t>第</w:t>
      </w:r>
      <w:r>
        <w:t>4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本法</w:t>
      </w:r>
      <w:hyperlink r:id="rId19" w:anchor="a3" w:history="1">
        <w:r w:rsidRPr="001D027B">
          <w:rPr>
            <w:rStyle w:val="a3"/>
            <w:rFonts w:ascii="Arial Unicode MS" w:hAnsi="Arial Unicode MS"/>
          </w:rPr>
          <w:t>第三條</w:t>
        </w:r>
      </w:hyperlink>
      <w:r w:rsidRPr="001D027B">
        <w:rPr>
          <w:rFonts w:ascii="Arial Unicode MS" w:hAnsi="Arial Unicode MS"/>
          <w:color w:val="333333"/>
        </w:rPr>
        <w:t>第一項、第三項所稱同等學力，指有下列情形之一者：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一、曾在公、私立國民中學或相當於國民中學教育階段之學校修業三年級課程，持有修業證明書者。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二、曾在公、私立國民中學補習學校或已立案之私立中級補習學校結業，取得結業證明書者。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三、經國民中學畢業程度自學進修學力鑑定考試及格，取得學力鑑定及格證書者。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四、取得丙級技術士證或相當於丙級以上技術士證之資格者。</w:t>
      </w:r>
    </w:p>
    <w:p w:rsidR="00E51FB8" w:rsidRPr="001D027B" w:rsidRDefault="00F676C7" w:rsidP="008D3514">
      <w:pPr>
        <w:pStyle w:val="2"/>
      </w:pPr>
      <w:r>
        <w:t>第</w:t>
      </w:r>
      <w:r>
        <w:t>5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高級中學學生因個人、家庭或其他之特殊情形，得申請休學、退學或轉學。</w:t>
      </w:r>
    </w:p>
    <w:p w:rsidR="00E51FB8" w:rsidRPr="001D027B" w:rsidRDefault="00E51FB8">
      <w:pPr>
        <w:ind w:left="181"/>
        <w:rPr>
          <w:rFonts w:ascii="Arial Unicode MS" w:hAnsi="Arial Unicode MS"/>
          <w:color w:val="17365D"/>
        </w:rPr>
      </w:pPr>
      <w:r w:rsidRPr="001D027B">
        <w:rPr>
          <w:rFonts w:ascii="Arial Unicode MS" w:hAnsi="Arial Unicode MS"/>
          <w:color w:val="17365D"/>
        </w:rPr>
        <w:t xml:space="preserve">　　前項休學得申請一學期或一學年，休學最長以二年為限，且不計入修業年限。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未成年學生休學、退學或轉學之申請，應經家長或監護人之同意為之。</w:t>
      </w:r>
    </w:p>
    <w:p w:rsidR="00E51FB8" w:rsidRPr="001D027B" w:rsidRDefault="00E51FB8">
      <w:pPr>
        <w:ind w:left="181"/>
        <w:rPr>
          <w:rFonts w:ascii="Arial Unicode MS" w:hAnsi="Arial Unicode MS"/>
          <w:color w:val="17365D"/>
        </w:rPr>
      </w:pPr>
      <w:r w:rsidRPr="001D027B">
        <w:rPr>
          <w:rFonts w:ascii="Arial Unicode MS" w:hAnsi="Arial Unicode MS"/>
          <w:color w:val="17365D"/>
        </w:rPr>
        <w:t xml:space="preserve">　　休學期滿之學生，得申請復學，編入與原學期或學年銜接之學級肄業。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學生申請轉學他校，學校應發給轉學證明書或修業證明書。</w:t>
      </w:r>
    </w:p>
    <w:p w:rsidR="00E51FB8" w:rsidRPr="001D027B" w:rsidRDefault="00F676C7" w:rsidP="008D3514">
      <w:pPr>
        <w:pStyle w:val="2"/>
      </w:pPr>
      <w:r>
        <w:t>第</w:t>
      </w:r>
      <w:r>
        <w:t>6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高級中學應造具應屆畢業生名冊，報送該管主管教育行政機關備查。</w:t>
      </w:r>
    </w:p>
    <w:p w:rsidR="00E51FB8" w:rsidRPr="001D027B" w:rsidRDefault="00F676C7" w:rsidP="008D3514">
      <w:pPr>
        <w:pStyle w:val="2"/>
      </w:pPr>
      <w:r>
        <w:t>第</w:t>
      </w:r>
      <w:r>
        <w:t>7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高級中學之設立、變更或停辦，應提出計畫或理由，依本法</w:t>
      </w:r>
      <w:hyperlink r:id="rId20" w:anchor="a5" w:history="1">
        <w:r w:rsidRPr="001D027B">
          <w:rPr>
            <w:rStyle w:val="a3"/>
            <w:rFonts w:ascii="Arial Unicode MS" w:hAnsi="Arial Unicode MS"/>
          </w:rPr>
          <w:t>第五條</w:t>
        </w:r>
      </w:hyperlink>
      <w:r w:rsidRPr="001D027B">
        <w:rPr>
          <w:rFonts w:ascii="Arial Unicode MS" w:hAnsi="Arial Unicode MS"/>
          <w:color w:val="333333"/>
        </w:rPr>
        <w:t>第二項規定程序辦理。</w:t>
      </w:r>
    </w:p>
    <w:p w:rsidR="00E51FB8" w:rsidRPr="001D027B" w:rsidRDefault="00F676C7" w:rsidP="008D3514">
      <w:pPr>
        <w:pStyle w:val="2"/>
      </w:pPr>
      <w:bookmarkStart w:id="3" w:name="a8"/>
      <w:bookmarkEnd w:id="3"/>
      <w:r>
        <w:lastRenderedPageBreak/>
        <w:t>第</w:t>
      </w:r>
      <w:r>
        <w:t>8</w:t>
      </w:r>
      <w:r>
        <w:t>條</w:t>
      </w:r>
    </w:p>
    <w:p w:rsidR="00C90ED8" w:rsidRPr="001D027B" w:rsidRDefault="00E51FB8">
      <w:pPr>
        <w:ind w:left="181"/>
        <w:rPr>
          <w:rFonts w:ascii="Arial Unicode MS" w:hAnsi="Arial Unicode MS"/>
          <w:color w:val="000000"/>
        </w:rPr>
      </w:pPr>
      <w:r w:rsidRPr="001D027B">
        <w:rPr>
          <w:rFonts w:ascii="Arial Unicode MS" w:hAnsi="Arial Unicode MS"/>
          <w:color w:val="000000"/>
        </w:rPr>
        <w:t xml:space="preserve">　　本法</w:t>
      </w:r>
      <w:hyperlink r:id="rId21" w:anchor="a6" w:history="1">
        <w:r w:rsidRPr="001D027B">
          <w:rPr>
            <w:rStyle w:val="a3"/>
            <w:rFonts w:ascii="Arial Unicode MS" w:hAnsi="Arial Unicode MS"/>
          </w:rPr>
          <w:t>第六條</w:t>
        </w:r>
      </w:hyperlink>
      <w:r w:rsidRPr="001D027B">
        <w:rPr>
          <w:rFonts w:ascii="Arial Unicode MS" w:hAnsi="Arial Unicode MS"/>
          <w:color w:val="000000"/>
        </w:rPr>
        <w:t>、</w:t>
      </w:r>
      <w:hyperlink r:id="rId22" w:anchor="a7" w:history="1">
        <w:r w:rsidRPr="001D027B">
          <w:rPr>
            <w:rStyle w:val="a3"/>
            <w:rFonts w:ascii="Arial Unicode MS" w:hAnsi="Arial Unicode MS"/>
          </w:rPr>
          <w:t>第七條</w:t>
        </w:r>
      </w:hyperlink>
      <w:r w:rsidRPr="001D027B">
        <w:rPr>
          <w:rFonts w:ascii="Arial Unicode MS" w:hAnsi="Arial Unicode MS"/>
          <w:color w:val="000000"/>
        </w:rPr>
        <w:t>所定各類型高級中學校名應為某某高級</w:t>
      </w:r>
      <w:r w:rsidR="00C90ED8" w:rsidRPr="001D027B">
        <w:rPr>
          <w:rFonts w:ascii="Arial Unicode MS" w:hAnsi="Arial Unicode MS"/>
          <w:color w:val="000000"/>
        </w:rPr>
        <w:t>中學，綜合高級中學校名得冠綜合二字，單類科高級中學應冠類科別。</w:t>
      </w:r>
    </w:p>
    <w:p w:rsidR="00C90ED8" w:rsidRPr="001D027B" w:rsidRDefault="00E51FB8">
      <w:pPr>
        <w:ind w:left="181"/>
        <w:rPr>
          <w:rFonts w:ascii="Arial Unicode MS" w:hAnsi="Arial Unicode MS"/>
          <w:color w:val="17365D"/>
        </w:rPr>
      </w:pPr>
      <w:r w:rsidRPr="001D027B">
        <w:rPr>
          <w:rFonts w:ascii="Arial Unicode MS" w:hAnsi="Arial Unicode MS"/>
          <w:color w:val="17365D"/>
        </w:rPr>
        <w:t xml:space="preserve">　　師資培育之大學附屬高級中學，校名應為某某附屬高級中學；並就其學校類型，依前項規定冠以綜合二字或類科別。</w:t>
      </w:r>
    </w:p>
    <w:p w:rsidR="00C90ED8" w:rsidRPr="001D027B" w:rsidRDefault="00E51FB8">
      <w:pPr>
        <w:ind w:left="181"/>
        <w:rPr>
          <w:rFonts w:ascii="Arial Unicode MS" w:hAnsi="Arial Unicode MS"/>
          <w:color w:val="000000"/>
        </w:rPr>
      </w:pPr>
      <w:r w:rsidRPr="001D027B">
        <w:rPr>
          <w:rFonts w:ascii="Arial Unicode MS" w:hAnsi="Arial Unicode MS"/>
          <w:color w:val="000000"/>
        </w:rPr>
        <w:t xml:space="preserve">　　公立學校校名，由各主管教育行政機關定之；私立學校校名，不得以地名為校名。</w:t>
      </w:r>
    </w:p>
    <w:p w:rsidR="00C90ED8" w:rsidRPr="001D027B" w:rsidRDefault="00E51FB8">
      <w:pPr>
        <w:ind w:left="181"/>
        <w:rPr>
          <w:rFonts w:ascii="Arial Unicode MS" w:hAnsi="Arial Unicode MS"/>
          <w:color w:val="17365D"/>
        </w:rPr>
      </w:pPr>
      <w:r w:rsidRPr="001D027B">
        <w:rPr>
          <w:rFonts w:ascii="Arial Unicode MS" w:hAnsi="Arial Unicode MS"/>
          <w:color w:val="17365D"/>
        </w:rPr>
        <w:t xml:space="preserve">　　高級中學使用相同、近似或其他足以使一般民眾誤認之校名，該管主管教育行政機關得令其變更之。</w:t>
      </w:r>
    </w:p>
    <w:p w:rsidR="00E51FB8" w:rsidRPr="00AC57B6" w:rsidRDefault="00E51FB8" w:rsidP="008D3514">
      <w:pPr>
        <w:pStyle w:val="3"/>
        <w:ind w:left="118"/>
      </w:pPr>
      <w:r w:rsidRPr="00AC57B6">
        <w:rPr>
          <w:rFonts w:hint="eastAsia"/>
        </w:rPr>
        <w:t>--93</w:t>
      </w:r>
      <w:r w:rsidRPr="00AC57B6">
        <w:rPr>
          <w:rFonts w:hint="eastAsia"/>
        </w:rPr>
        <w:t>年</w:t>
      </w:r>
      <w:r w:rsidRPr="00AC57B6">
        <w:rPr>
          <w:rFonts w:hint="eastAsia"/>
        </w:rPr>
        <w:t>1</w:t>
      </w:r>
      <w:r w:rsidRPr="00AC57B6">
        <w:rPr>
          <w:rFonts w:hint="eastAsia"/>
        </w:rPr>
        <w:t>月</w:t>
      </w:r>
      <w:r w:rsidRPr="00AC57B6">
        <w:rPr>
          <w:rFonts w:hint="eastAsia"/>
        </w:rPr>
        <w:t>29</w:t>
      </w:r>
      <w:r w:rsidRPr="00AC57B6">
        <w:rPr>
          <w:rFonts w:hint="eastAsia"/>
        </w:rPr>
        <w:t>日</w:t>
      </w:r>
      <w:r w:rsidR="00F676C7">
        <w:t>修正公布前原條</w:t>
      </w:r>
      <w:r w:rsidR="00553099" w:rsidRPr="00AE1B81">
        <w:rPr>
          <w:rFonts w:hint="eastAsia"/>
        </w:rPr>
        <w:t>文</w:t>
      </w:r>
      <w:r w:rsidR="00553099" w:rsidRPr="00AE1B81">
        <w:t>--</w:t>
      </w:r>
      <w:hyperlink r:id="rId23" w:history="1">
        <w:r w:rsidR="00553099" w:rsidRPr="00AE1B81">
          <w:rPr>
            <w:u w:val="single"/>
          </w:rPr>
          <w:t>比對程式</w:t>
        </w:r>
      </w:hyperlink>
    </w:p>
    <w:p w:rsidR="00E51FB8" w:rsidRPr="00AC57B6" w:rsidRDefault="00E51FB8">
      <w:pPr>
        <w:ind w:left="181"/>
        <w:rPr>
          <w:rFonts w:ascii="Arial Unicode MS" w:hAnsi="Arial Unicode MS"/>
          <w:color w:val="5F5F5F"/>
        </w:rPr>
      </w:pPr>
      <w:r w:rsidRPr="00AC57B6">
        <w:rPr>
          <w:rFonts w:ascii="Arial Unicode MS" w:hAnsi="Arial Unicode MS"/>
          <w:color w:val="5F5F5F"/>
        </w:rPr>
        <w:t xml:space="preserve">　　本</w:t>
      </w:r>
      <w:r w:rsidR="001D027B" w:rsidRPr="00AC57B6">
        <w:rPr>
          <w:rFonts w:ascii="Arial Unicode MS" w:hAnsi="Arial Unicode MS"/>
          <w:color w:val="5F5F5F"/>
        </w:rPr>
        <w:t>法</w:t>
      </w:r>
      <w:hyperlink r:id="rId24" w:anchor="a6" w:history="1">
        <w:r w:rsidR="001D027B" w:rsidRPr="00AC57B6">
          <w:rPr>
            <w:rStyle w:val="a3"/>
            <w:rFonts w:ascii="Arial Unicode MS" w:hAnsi="Arial Unicode MS"/>
            <w:color w:val="5F5F5F"/>
          </w:rPr>
          <w:t>第六條</w:t>
        </w:r>
      </w:hyperlink>
      <w:r w:rsidR="001D027B" w:rsidRPr="00AC57B6">
        <w:rPr>
          <w:rFonts w:ascii="Arial Unicode MS" w:hAnsi="Arial Unicode MS"/>
          <w:color w:val="5F5F5F"/>
        </w:rPr>
        <w:t>、</w:t>
      </w:r>
      <w:hyperlink r:id="rId25" w:anchor="a7" w:history="1">
        <w:r w:rsidR="001D027B" w:rsidRPr="00AC57B6">
          <w:rPr>
            <w:rStyle w:val="a3"/>
            <w:rFonts w:ascii="Arial Unicode MS" w:hAnsi="Arial Unicode MS"/>
            <w:color w:val="5F5F5F"/>
          </w:rPr>
          <w:t>第七條</w:t>
        </w:r>
      </w:hyperlink>
      <w:r w:rsidRPr="00AC57B6">
        <w:rPr>
          <w:rFonts w:ascii="Arial Unicode MS" w:hAnsi="Arial Unicode MS"/>
          <w:color w:val="5F5F5F"/>
        </w:rPr>
        <w:t>各類型高級中學校名應為某某高級中學，單類科高級中學應冠類科別。</w:t>
      </w:r>
    </w:p>
    <w:p w:rsidR="00E51FB8" w:rsidRPr="001D027B" w:rsidRDefault="00E51FB8">
      <w:pPr>
        <w:ind w:left="181"/>
        <w:rPr>
          <w:rFonts w:ascii="Arial Unicode MS" w:hAnsi="Arial Unicode MS"/>
          <w:color w:val="666699"/>
        </w:rPr>
      </w:pPr>
      <w:r w:rsidRPr="001D027B">
        <w:rPr>
          <w:rFonts w:ascii="Arial Unicode MS" w:hAnsi="Arial Unicode MS"/>
          <w:color w:val="666699"/>
        </w:rPr>
        <w:t xml:space="preserve">　　公立學校校名，由各主管教育行政機關定之；私立學校校名，不得以地名為校名。</w:t>
      </w:r>
    </w:p>
    <w:p w:rsidR="00E51FB8" w:rsidRPr="00AC57B6" w:rsidRDefault="00E51FB8">
      <w:pPr>
        <w:ind w:left="181"/>
        <w:rPr>
          <w:rFonts w:ascii="Arial Unicode MS" w:hAnsi="Arial Unicode MS"/>
          <w:color w:val="5F5F5F"/>
        </w:rPr>
      </w:pPr>
      <w:r w:rsidRPr="00AC57B6">
        <w:rPr>
          <w:rFonts w:ascii="Arial Unicode MS" w:hAnsi="Arial Unicode MS"/>
          <w:color w:val="5F5F5F"/>
        </w:rPr>
        <w:t xml:space="preserve">　　師範大學、師範學院、教育學院及設有教育學院（系、所）之大學附屬高級中學，稱為某某附屬高級中學。</w:t>
      </w:r>
    </w:p>
    <w:p w:rsidR="00E51FB8" w:rsidRPr="001D027B" w:rsidRDefault="00E51FB8">
      <w:pPr>
        <w:ind w:left="181"/>
        <w:rPr>
          <w:rFonts w:ascii="Arial Unicode MS" w:hAnsi="Arial Unicode MS"/>
          <w:color w:val="666699"/>
        </w:rPr>
      </w:pPr>
      <w:r w:rsidRPr="001D027B">
        <w:rPr>
          <w:rFonts w:ascii="Arial Unicode MS" w:hAnsi="Arial Unicode MS"/>
          <w:color w:val="666699"/>
        </w:rPr>
        <w:t xml:space="preserve">　　高級中學使用相同、近似或其他足以使一般民眾誤認之校名，該管主管教育行政機關得令其變更之。</w:t>
      </w:r>
    </w:p>
    <w:p w:rsidR="00E51FB8" w:rsidRPr="001D027B" w:rsidRDefault="00F676C7" w:rsidP="008D3514">
      <w:pPr>
        <w:pStyle w:val="2"/>
      </w:pPr>
      <w:r>
        <w:t>第</w:t>
      </w:r>
      <w:r>
        <w:t>9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高級中學應於每學年第一學期開學後一個月內，將下列各項資料，報該管主管教育行政機關備查：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一、本學期新生、轉學生、復學生、延修生，休學生及退學生名冊。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二、本學年教職員名冊。</w:t>
      </w:r>
    </w:p>
    <w:p w:rsidR="00E51FB8" w:rsidRPr="001D027B" w:rsidRDefault="00E51FB8">
      <w:pPr>
        <w:ind w:left="181"/>
        <w:rPr>
          <w:rFonts w:ascii="Arial Unicode MS" w:hAnsi="Arial Unicode MS"/>
          <w:color w:val="17365D"/>
        </w:rPr>
      </w:pPr>
      <w:r w:rsidRPr="001D027B">
        <w:rPr>
          <w:rFonts w:ascii="Arial Unicode MS" w:hAnsi="Arial Unicode MS"/>
          <w:color w:val="17365D"/>
        </w:rPr>
        <w:t xml:space="preserve">　　高級中學應於每學年第二學期開學後一個月內，將前項資料異動部分之異動表，報該管主管教育行政機關備查。</w:t>
      </w:r>
    </w:p>
    <w:p w:rsidR="00E51FB8" w:rsidRPr="001D027B" w:rsidRDefault="00F676C7" w:rsidP="008D3514">
      <w:pPr>
        <w:pStyle w:val="2"/>
      </w:pPr>
      <w:bookmarkStart w:id="4" w:name="a10"/>
      <w:bookmarkEnd w:id="4"/>
      <w:r>
        <w:t>第</w:t>
      </w:r>
      <w:r>
        <w:t>10</w:t>
      </w:r>
      <w:r>
        <w:t>條</w:t>
      </w:r>
      <w:r w:rsidR="00E51FB8" w:rsidRPr="001D027B">
        <w:t>（刪除）</w:t>
      </w:r>
    </w:p>
    <w:p w:rsidR="00E51FB8" w:rsidRPr="001D027B" w:rsidRDefault="00E51FB8" w:rsidP="008D3514">
      <w:pPr>
        <w:pStyle w:val="3"/>
        <w:ind w:left="118"/>
        <w:rPr>
          <w:color w:val="800000"/>
        </w:rPr>
      </w:pPr>
      <w:r w:rsidRPr="001D027B">
        <w:rPr>
          <w:rFonts w:hint="eastAsia"/>
        </w:rPr>
        <w:t>--93</w:t>
      </w:r>
      <w:r w:rsidRPr="001D027B">
        <w:rPr>
          <w:rFonts w:hint="eastAsia"/>
        </w:rPr>
        <w:t>年</w:t>
      </w:r>
      <w:r w:rsidRPr="001D027B">
        <w:rPr>
          <w:rFonts w:hint="eastAsia"/>
        </w:rPr>
        <w:t>1</w:t>
      </w:r>
      <w:r w:rsidRPr="001D027B">
        <w:rPr>
          <w:rFonts w:hint="eastAsia"/>
        </w:rPr>
        <w:t>月</w:t>
      </w:r>
      <w:r w:rsidRPr="001D027B">
        <w:rPr>
          <w:rFonts w:hint="eastAsia"/>
        </w:rPr>
        <w:t>29</w:t>
      </w:r>
      <w:r w:rsidRPr="001D027B">
        <w:rPr>
          <w:rFonts w:hint="eastAsia"/>
        </w:rPr>
        <w:t>日</w:t>
      </w:r>
      <w:r w:rsidR="00F676C7">
        <w:t>修正公布前原條文</w:t>
      </w:r>
      <w:r w:rsidR="00F676C7">
        <w:t>--</w:t>
      </w:r>
    </w:p>
    <w:p w:rsidR="00E51FB8" w:rsidRPr="00AC57B6" w:rsidRDefault="00E51FB8">
      <w:pPr>
        <w:ind w:left="181"/>
        <w:rPr>
          <w:rFonts w:ascii="Arial Unicode MS" w:hAnsi="Arial Unicode MS"/>
          <w:color w:val="5F5F5F"/>
        </w:rPr>
      </w:pPr>
      <w:r w:rsidRPr="00AC57B6">
        <w:rPr>
          <w:rFonts w:ascii="Arial Unicode MS" w:hAnsi="Arial Unicode MS"/>
          <w:color w:val="5F5F5F"/>
        </w:rPr>
        <w:t xml:space="preserve">　　高級中學徵收學生費用種類如下：</w:t>
      </w:r>
    </w:p>
    <w:p w:rsidR="00E51FB8" w:rsidRPr="00AC57B6" w:rsidRDefault="00E51FB8">
      <w:pPr>
        <w:ind w:left="181"/>
        <w:rPr>
          <w:rFonts w:ascii="Arial Unicode MS" w:hAnsi="Arial Unicode MS"/>
          <w:color w:val="5F5F5F"/>
        </w:rPr>
      </w:pPr>
      <w:r w:rsidRPr="00AC57B6">
        <w:rPr>
          <w:rFonts w:ascii="Arial Unicode MS" w:hAnsi="Arial Unicode MS"/>
          <w:color w:val="5F5F5F"/>
        </w:rPr>
        <w:t xml:space="preserve">　　一、學費。</w:t>
      </w:r>
    </w:p>
    <w:p w:rsidR="00E51FB8" w:rsidRPr="00AC57B6" w:rsidRDefault="00E51FB8">
      <w:pPr>
        <w:ind w:left="181"/>
        <w:rPr>
          <w:rFonts w:ascii="Arial Unicode MS" w:hAnsi="Arial Unicode MS"/>
          <w:color w:val="5F5F5F"/>
        </w:rPr>
      </w:pPr>
      <w:r w:rsidRPr="00AC57B6">
        <w:rPr>
          <w:rFonts w:ascii="Arial Unicode MS" w:hAnsi="Arial Unicode MS"/>
          <w:color w:val="5F5F5F"/>
        </w:rPr>
        <w:t xml:space="preserve">　　二、雜費。</w:t>
      </w:r>
    </w:p>
    <w:p w:rsidR="00E51FB8" w:rsidRPr="00AC57B6" w:rsidRDefault="00E51FB8">
      <w:pPr>
        <w:ind w:left="181"/>
        <w:rPr>
          <w:rFonts w:ascii="Arial Unicode MS" w:hAnsi="Arial Unicode MS"/>
          <w:color w:val="5F5F5F"/>
        </w:rPr>
      </w:pPr>
      <w:r w:rsidRPr="00AC57B6">
        <w:rPr>
          <w:rFonts w:ascii="Arial Unicode MS" w:hAnsi="Arial Unicode MS"/>
          <w:color w:val="5F5F5F"/>
        </w:rPr>
        <w:t xml:space="preserve">　　三、代收代辦費。</w:t>
      </w:r>
    </w:p>
    <w:p w:rsidR="00E51FB8" w:rsidRPr="001D027B" w:rsidRDefault="00E51FB8">
      <w:pPr>
        <w:ind w:left="181"/>
        <w:rPr>
          <w:rFonts w:ascii="Arial Unicode MS" w:hAnsi="Arial Unicode MS"/>
          <w:color w:val="666699"/>
        </w:rPr>
      </w:pPr>
      <w:r w:rsidRPr="001D027B">
        <w:rPr>
          <w:rFonts w:ascii="Arial Unicode MS" w:hAnsi="Arial Unicode MS"/>
          <w:color w:val="666699"/>
        </w:rPr>
        <w:t xml:space="preserve">　　前項費用之收取標準，以該管主管教育行政機關核定者為限。</w:t>
      </w:r>
    </w:p>
    <w:p w:rsidR="00E51FB8" w:rsidRPr="001D027B" w:rsidRDefault="00F676C7" w:rsidP="008D3514">
      <w:pPr>
        <w:pStyle w:val="2"/>
      </w:pPr>
      <w:r>
        <w:t>第</w:t>
      </w:r>
      <w:r>
        <w:t>11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高級中學依課程進度，分年級實施教學；每班學生人數，以不超過四十五人為原則。</w:t>
      </w:r>
    </w:p>
    <w:p w:rsidR="00E51FB8" w:rsidRPr="001D027B" w:rsidRDefault="00E51FB8">
      <w:pPr>
        <w:ind w:left="181"/>
        <w:rPr>
          <w:rFonts w:ascii="Arial Unicode MS" w:hAnsi="Arial Unicode MS"/>
          <w:color w:val="17365D"/>
        </w:rPr>
      </w:pPr>
      <w:r w:rsidRPr="001D027B">
        <w:rPr>
          <w:rFonts w:ascii="Arial Unicode MS" w:hAnsi="Arial Unicode MS"/>
          <w:color w:val="17365D"/>
        </w:rPr>
        <w:t xml:space="preserve">　　高級中學新開辦第一年，不得招收二年級以上學生，第二年不得招收三年級學生。</w:t>
      </w:r>
    </w:p>
    <w:p w:rsidR="00E51FB8" w:rsidRPr="001D027B" w:rsidRDefault="00F676C7" w:rsidP="008D3514">
      <w:pPr>
        <w:pStyle w:val="2"/>
      </w:pPr>
      <w:r>
        <w:t>第</w:t>
      </w:r>
      <w:r>
        <w:t>12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17365D"/>
        </w:rPr>
      </w:pPr>
      <w:r w:rsidRPr="001D027B">
        <w:rPr>
          <w:rFonts w:ascii="Arial Unicode MS" w:hAnsi="Arial Unicode MS"/>
          <w:color w:val="17365D"/>
        </w:rPr>
        <w:t xml:space="preserve">　　高級中學各科教學應活用教材，並須注重實驗及實習。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高級中學除依本法</w:t>
      </w:r>
      <w:hyperlink r:id="rId26" w:anchor="a9" w:history="1">
        <w:r w:rsidRPr="001D027B">
          <w:rPr>
            <w:rStyle w:val="a3"/>
            <w:rFonts w:ascii="Arial Unicode MS" w:hAnsi="Arial Unicode MS"/>
          </w:rPr>
          <w:t>第九條</w:t>
        </w:r>
      </w:hyperlink>
      <w:r w:rsidRPr="001D027B">
        <w:rPr>
          <w:rFonts w:ascii="Arial Unicode MS" w:hAnsi="Arial Unicode MS"/>
          <w:color w:val="333333"/>
        </w:rPr>
        <w:t>規定採用中央主管教育行政機關審定或編定之教科用書外，得依本法</w:t>
      </w:r>
      <w:hyperlink r:id="rId27" w:anchor="a8" w:history="1">
        <w:r w:rsidRPr="001D027B">
          <w:rPr>
            <w:rStyle w:val="a3"/>
            <w:rFonts w:ascii="Arial Unicode MS" w:hAnsi="Arial Unicode MS"/>
          </w:rPr>
          <w:t>第八條</w:t>
        </w:r>
      </w:hyperlink>
      <w:r w:rsidRPr="001D027B">
        <w:rPr>
          <w:rFonts w:ascii="Arial Unicode MS" w:hAnsi="Arial Unicode MS"/>
          <w:color w:val="333333"/>
        </w:rPr>
        <w:t>第二項、第三項所定之課程標準或綱要，自編補充教材。</w:t>
      </w:r>
    </w:p>
    <w:p w:rsidR="00E51FB8" w:rsidRPr="001D027B" w:rsidRDefault="00F676C7" w:rsidP="008D3514">
      <w:pPr>
        <w:pStyle w:val="2"/>
      </w:pPr>
      <w:r>
        <w:t>第</w:t>
      </w:r>
      <w:r>
        <w:t>13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高級中學校長及全體教職員均負訓育與輔導責任，並須以身作則，指導學生課內課外之活動。</w:t>
      </w:r>
    </w:p>
    <w:p w:rsidR="00E51FB8" w:rsidRPr="001D027B" w:rsidRDefault="00F676C7" w:rsidP="008D3514">
      <w:pPr>
        <w:pStyle w:val="2"/>
      </w:pPr>
      <w:r>
        <w:t>第</w:t>
      </w:r>
      <w:r>
        <w:t>14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高級中學每班置導師一人，由校長就專任合格教師中聘兼之，辦理本班學生之訓育及輔導事項。</w:t>
      </w:r>
    </w:p>
    <w:p w:rsidR="00E51FB8" w:rsidRPr="001D027B" w:rsidRDefault="00F676C7" w:rsidP="008D3514">
      <w:pPr>
        <w:pStyle w:val="2"/>
      </w:pPr>
      <w:r>
        <w:lastRenderedPageBreak/>
        <w:t>第</w:t>
      </w:r>
      <w:r>
        <w:t>15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高級中學專任教師及兼任導師、行政職務者，其每週教學時數，由該管主管教育行政機關定之。</w:t>
      </w:r>
    </w:p>
    <w:p w:rsidR="00E51FB8" w:rsidRPr="001D027B" w:rsidRDefault="00F676C7" w:rsidP="008D3514">
      <w:pPr>
        <w:pStyle w:val="2"/>
      </w:pPr>
      <w:r>
        <w:t>第</w:t>
      </w:r>
      <w:r>
        <w:t>16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高級中學依本法第</w:t>
      </w:r>
      <w:hyperlink r:id="rId28" w:anchor="a22" w:history="1">
        <w:r w:rsidRPr="001D027B">
          <w:rPr>
            <w:rStyle w:val="a3"/>
            <w:rFonts w:ascii="Arial Unicode MS" w:hAnsi="Arial Unicode MS"/>
          </w:rPr>
          <w:t>二十二</w:t>
        </w:r>
      </w:hyperlink>
      <w:r w:rsidRPr="001D027B">
        <w:rPr>
          <w:rFonts w:ascii="Arial Unicode MS" w:hAnsi="Arial Unicode MS"/>
          <w:color w:val="333333"/>
        </w:rPr>
        <w:t>條所置之軍訓教官及護理教師，其編制員額，由中央主管教育行政機關定之。</w:t>
      </w:r>
    </w:p>
    <w:p w:rsidR="00E51FB8" w:rsidRPr="001D027B" w:rsidRDefault="00F676C7" w:rsidP="008D3514">
      <w:pPr>
        <w:pStyle w:val="2"/>
      </w:pPr>
      <w:r>
        <w:t>第</w:t>
      </w:r>
      <w:r>
        <w:t>17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本法第</w:t>
      </w:r>
      <w:hyperlink r:id="rId29" w:anchor="a23" w:history="1">
        <w:r w:rsidRPr="001D027B">
          <w:rPr>
            <w:rStyle w:val="a3"/>
            <w:rFonts w:ascii="Arial Unicode MS" w:hAnsi="Arial Unicode MS"/>
          </w:rPr>
          <w:t>二十三</w:t>
        </w:r>
      </w:hyperlink>
      <w:r w:rsidRPr="001D027B">
        <w:rPr>
          <w:rFonts w:ascii="Arial Unicode MS" w:hAnsi="Arial Unicode MS"/>
          <w:color w:val="333333"/>
        </w:rPr>
        <w:t>條所定高級中學校務會議，每學期至少開學一次。</w:t>
      </w:r>
    </w:p>
    <w:p w:rsidR="00E51FB8" w:rsidRPr="001D027B" w:rsidRDefault="00F676C7" w:rsidP="008D3514">
      <w:pPr>
        <w:pStyle w:val="2"/>
      </w:pPr>
      <w:r>
        <w:t>第</w:t>
      </w:r>
      <w:r>
        <w:t>18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高級中學依本法第</w:t>
      </w:r>
      <w:hyperlink r:id="rId30" w:anchor="a24" w:history="1">
        <w:r w:rsidRPr="001D027B">
          <w:rPr>
            <w:rStyle w:val="a3"/>
            <w:rFonts w:ascii="Arial Unicode MS" w:hAnsi="Arial Unicode MS"/>
          </w:rPr>
          <w:t>二十四</w:t>
        </w:r>
      </w:hyperlink>
      <w:r w:rsidRPr="001D027B">
        <w:rPr>
          <w:rFonts w:ascii="Arial Unicode MS" w:hAnsi="Arial Unicode MS"/>
          <w:color w:val="333333"/>
        </w:rPr>
        <w:t>條所設之教務、學生事務及輔導會議，由相關行政人員及教師代表組成之，必要時得邀請學生代表列席。</w:t>
      </w:r>
    </w:p>
    <w:p w:rsidR="00E51FB8" w:rsidRPr="001D027B" w:rsidRDefault="00E51FB8">
      <w:pPr>
        <w:ind w:left="181"/>
        <w:rPr>
          <w:rFonts w:ascii="Arial Unicode MS" w:hAnsi="Arial Unicode MS"/>
          <w:color w:val="17365D"/>
        </w:rPr>
      </w:pPr>
      <w:r w:rsidRPr="001D027B">
        <w:rPr>
          <w:rFonts w:ascii="Arial Unicode MS" w:hAnsi="Arial Unicode MS"/>
          <w:color w:val="17365D"/>
        </w:rPr>
        <w:t xml:space="preserve">　　前項會議，由該管處主任、主任輔導教師召集主持之，每學期至少開會一次。</w:t>
      </w:r>
    </w:p>
    <w:p w:rsidR="00E51FB8" w:rsidRPr="001D027B" w:rsidRDefault="00F676C7" w:rsidP="008D3514">
      <w:pPr>
        <w:pStyle w:val="2"/>
      </w:pPr>
      <w:r>
        <w:t>第</w:t>
      </w:r>
      <w:r>
        <w:t>19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高級中學依本法第</w:t>
      </w:r>
      <w:hyperlink r:id="rId31" w:anchor="a26" w:history="1">
        <w:r w:rsidRPr="001D027B">
          <w:rPr>
            <w:rStyle w:val="a3"/>
            <w:rFonts w:ascii="Arial Unicode MS" w:hAnsi="Arial Unicode MS"/>
          </w:rPr>
          <w:t>二十六</w:t>
        </w:r>
      </w:hyperlink>
      <w:r w:rsidRPr="001D027B">
        <w:rPr>
          <w:rFonts w:ascii="Arial Unicode MS" w:hAnsi="Arial Unicode MS"/>
          <w:color w:val="333333"/>
        </w:rPr>
        <w:t>條規定設有學科教學研究委員會者，置召集人一人，負責協調教師進行研究、改進教材教法、推展教學活動，並得減少授課時數。</w:t>
      </w:r>
    </w:p>
    <w:p w:rsidR="00E51FB8" w:rsidRPr="001D027B" w:rsidRDefault="00F676C7" w:rsidP="008D3514">
      <w:pPr>
        <w:pStyle w:val="2"/>
      </w:pPr>
      <w:r>
        <w:t>第</w:t>
      </w:r>
      <w:r>
        <w:t>20</w:t>
      </w:r>
      <w:r>
        <w:t>條</w:t>
      </w:r>
    </w:p>
    <w:p w:rsidR="00E51FB8" w:rsidRPr="001D027B" w:rsidRDefault="00E51FB8">
      <w:pPr>
        <w:ind w:left="181"/>
        <w:rPr>
          <w:rFonts w:ascii="Arial Unicode MS" w:hAnsi="Arial Unicode MS"/>
          <w:color w:val="333333"/>
        </w:rPr>
      </w:pPr>
      <w:r w:rsidRPr="001D027B">
        <w:rPr>
          <w:rFonts w:ascii="Arial Unicode MS" w:hAnsi="Arial Unicode MS"/>
          <w:color w:val="333333"/>
        </w:rPr>
        <w:t xml:space="preserve">　　本細則自發布日施行。</w:t>
      </w:r>
    </w:p>
    <w:p w:rsidR="00E51FB8" w:rsidRDefault="00E51FB8">
      <w:pPr>
        <w:ind w:left="181"/>
        <w:rPr>
          <w:rFonts w:ascii="Arial Unicode MS" w:hAnsi="Arial Unicode MS"/>
          <w:color w:val="333333"/>
        </w:rPr>
      </w:pPr>
    </w:p>
    <w:p w:rsidR="001D027B" w:rsidRPr="001D027B" w:rsidRDefault="001D027B">
      <w:pPr>
        <w:ind w:left="181"/>
        <w:rPr>
          <w:rFonts w:ascii="Arial Unicode MS" w:hAnsi="Arial Unicode MS"/>
          <w:color w:val="333333"/>
        </w:rPr>
      </w:pPr>
    </w:p>
    <w:p w:rsidR="00864C7C" w:rsidRPr="00E5474F" w:rsidRDefault="00864C7C" w:rsidP="00864C7C">
      <w:pPr>
        <w:jc w:val="both"/>
        <w:rPr>
          <w:rStyle w:val="a3"/>
          <w:rFonts w:ascii="Arial Unicode MS" w:hAnsi="Arial Unicode MS"/>
          <w:sz w:val="18"/>
          <w:u w:val="none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E5474F">
          <w:rPr>
            <w:rStyle w:val="a3"/>
            <w:sz w:val="18"/>
          </w:rPr>
          <w:t>回</w:t>
        </w:r>
        <w:r w:rsidRPr="00E5474F">
          <w:rPr>
            <w:rStyle w:val="a3"/>
            <w:sz w:val="18"/>
          </w:rPr>
          <w:t>首</w:t>
        </w:r>
        <w:r w:rsidRPr="00E5474F">
          <w:rPr>
            <w:rStyle w:val="a3"/>
            <w:sz w:val="18"/>
          </w:rPr>
          <w:t>頁</w:t>
        </w:r>
      </w:hyperlink>
      <w:r w:rsidRPr="00E5474F">
        <w:rPr>
          <w:rFonts w:ascii="新細明體" w:hAnsi="新細明體"/>
          <w:color w:val="808000"/>
          <w:sz w:val="18"/>
        </w:rPr>
        <w:t>&gt;&gt;</w:t>
      </w:r>
    </w:p>
    <w:p w:rsidR="00E51FB8" w:rsidRPr="00864C7C" w:rsidRDefault="00864C7C" w:rsidP="00864C7C">
      <w:pPr>
        <w:ind w:left="142"/>
        <w:jc w:val="both"/>
        <w:rPr>
          <w:rFonts w:ascii="Arial Unicode MS" w:hAnsi="Arial Unicode MS"/>
          <w:color w:val="333333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32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33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34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35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51FB8" w:rsidRPr="00864C7C">
      <w:footerReference w:type="even" r:id="rId36"/>
      <w:footerReference w:type="default" r:id="rId37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90" w:rsidRDefault="00155290">
      <w:r>
        <w:separator/>
      </w:r>
    </w:p>
  </w:endnote>
  <w:endnote w:type="continuationSeparator" w:id="0">
    <w:p w:rsidR="00155290" w:rsidRDefault="0015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A1" w:rsidRDefault="00910CA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0CA1" w:rsidRDefault="00910C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A1" w:rsidRDefault="00910CA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619">
      <w:rPr>
        <w:rStyle w:val="a7"/>
        <w:noProof/>
      </w:rPr>
      <w:t>1</w:t>
    </w:r>
    <w:r>
      <w:rPr>
        <w:rStyle w:val="a7"/>
      </w:rPr>
      <w:fldChar w:fldCharType="end"/>
    </w:r>
  </w:p>
  <w:p w:rsidR="00910CA1" w:rsidRPr="00AC57B6" w:rsidRDefault="00910CA1">
    <w:pPr>
      <w:pStyle w:val="a6"/>
      <w:ind w:right="360"/>
      <w:jc w:val="right"/>
      <w:rPr>
        <w:rFonts w:ascii="Arial Unicode MS" w:hAnsi="Arial Unicode MS"/>
        <w:sz w:val="18"/>
      </w:rPr>
    </w:pPr>
    <w:r w:rsidRPr="00AC57B6">
      <w:rPr>
        <w:rFonts w:ascii="Arial Unicode MS" w:hAnsi="Arial Unicode MS" w:hint="eastAsia"/>
        <w:sz w:val="18"/>
      </w:rPr>
      <w:t>&lt;&lt;</w:t>
    </w:r>
    <w:r w:rsidRPr="00AC57B6">
      <w:rPr>
        <w:rFonts w:ascii="Arial Unicode MS" w:hAnsi="Arial Unicode MS" w:hint="eastAsia"/>
        <w:sz w:val="18"/>
      </w:rPr>
      <w:t>高級中學法施行細則</w:t>
    </w:r>
    <w:r w:rsidR="008D3514">
      <w:rPr>
        <w:rFonts w:ascii="Arial Unicode MS" w:hAnsi="Arial Unicode MS" w:hint="eastAsia"/>
        <w:sz w:val="18"/>
      </w:rPr>
      <w:t>(</w:t>
    </w:r>
    <w:r w:rsidR="008D3514">
      <w:rPr>
        <w:rFonts w:ascii="Arial Unicode MS" w:hAnsi="Arial Unicode MS" w:hint="eastAsia"/>
        <w:sz w:val="18"/>
      </w:rPr>
      <w:t>廢</w:t>
    </w:r>
    <w:r w:rsidR="008D3514">
      <w:rPr>
        <w:rFonts w:ascii="Arial Unicode MS" w:hAnsi="Arial Unicode MS" w:hint="eastAsia"/>
        <w:sz w:val="18"/>
      </w:rPr>
      <w:t>)</w:t>
    </w:r>
    <w:r w:rsidRPr="00AC57B6">
      <w:rPr>
        <w:rFonts w:ascii="Arial Unicode MS" w:hAnsi="Arial Unicode MS" w:hint="eastAsia"/>
        <w:sz w:val="18"/>
      </w:rPr>
      <w:t>&gt;&gt;</w:t>
    </w:r>
    <w:r w:rsidRPr="00AC57B6">
      <w:rPr>
        <w:rFonts w:ascii="Arial Unicode MS" w:hAnsi="Arial Unicode MS"/>
        <w:sz w:val="18"/>
      </w:rPr>
      <w:t>S</w:t>
    </w:r>
    <w:r w:rsidRPr="00AC57B6">
      <w:rPr>
        <w:rFonts w:ascii="Arial Unicode MS" w:hAnsi="Arial Unicode MS" w:hint="eastAsia"/>
        <w:sz w:val="18"/>
      </w:rPr>
      <w:t xml:space="preserve">-link </w:t>
    </w:r>
    <w:r w:rsidRPr="00AC57B6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90" w:rsidRDefault="00155290">
      <w:r>
        <w:separator/>
      </w:r>
    </w:p>
  </w:footnote>
  <w:footnote w:type="continuationSeparator" w:id="0">
    <w:p w:rsidR="00155290" w:rsidRDefault="0015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FB8"/>
    <w:rsid w:val="00041E5E"/>
    <w:rsid w:val="0014195B"/>
    <w:rsid w:val="00155290"/>
    <w:rsid w:val="00164231"/>
    <w:rsid w:val="0018147E"/>
    <w:rsid w:val="0019418A"/>
    <w:rsid w:val="001D027B"/>
    <w:rsid w:val="001E0202"/>
    <w:rsid w:val="00234748"/>
    <w:rsid w:val="002F601B"/>
    <w:rsid w:val="00553099"/>
    <w:rsid w:val="006C7A50"/>
    <w:rsid w:val="00812B1A"/>
    <w:rsid w:val="00845BA5"/>
    <w:rsid w:val="00864C7C"/>
    <w:rsid w:val="008D3514"/>
    <w:rsid w:val="00910CA1"/>
    <w:rsid w:val="009E4619"/>
    <w:rsid w:val="00AC57B6"/>
    <w:rsid w:val="00B400FA"/>
    <w:rsid w:val="00B4368D"/>
    <w:rsid w:val="00C90ED8"/>
    <w:rsid w:val="00DE3495"/>
    <w:rsid w:val="00E51FB8"/>
    <w:rsid w:val="00F45662"/>
    <w:rsid w:val="00F6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8D3514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Cs w:val="48"/>
    </w:rPr>
  </w:style>
  <w:style w:type="paragraph" w:styleId="3">
    <w:name w:val="heading 3"/>
    <w:basedOn w:val="a"/>
    <w:qFormat/>
    <w:rsid w:val="00AC57B6"/>
    <w:pPr>
      <w:widowControl/>
      <w:adjustRightInd w:val="0"/>
      <w:snapToGrid w:val="0"/>
      <w:ind w:leftChars="59" w:left="142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AC57B6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AC57B6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8D3514"/>
    <w:rPr>
      <w:rFonts w:ascii="Arial Unicode MS" w:hAnsi="Arial Unicode MS" w:cs="Arial Unicode MS"/>
      <w:b/>
      <w:bCs/>
      <w:color w:val="993366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S-link&#38651;&#23376;&#20845;&#27861;&#32034;&#24341;-2.docx" TargetMode="External"/><Relationship Id="rId18" Type="http://schemas.openxmlformats.org/officeDocument/2006/relationships/hyperlink" Target="../law/&#39640;&#32026;&#20013;&#23416;&#27861;.docx" TargetMode="External"/><Relationship Id="rId26" Type="http://schemas.openxmlformats.org/officeDocument/2006/relationships/hyperlink" Target="../law/&#39640;&#32026;&#20013;&#23416;&#27861;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law/&#39640;&#32026;&#20013;&#23416;&#27861;.docx" TargetMode="External"/><Relationship Id="rId34" Type="http://schemas.openxmlformats.org/officeDocument/2006/relationships/hyperlink" Target="http://law.moj.gov.tw/" TargetMode="External"/><Relationship Id="rId7" Type="http://schemas.openxmlformats.org/officeDocument/2006/relationships/hyperlink" Target="http://www.6law.idv.tw" TargetMode="External"/><Relationship Id="rId12" Type="http://schemas.openxmlformats.org/officeDocument/2006/relationships/hyperlink" Target="../../6law/law3/&#39640;&#32026;&#20013;&#23416;&#27861;&#26045;&#34892;&#32048;&#21063;.htm" TargetMode="External"/><Relationship Id="rId17" Type="http://schemas.openxmlformats.org/officeDocument/2006/relationships/hyperlink" Target="../law/&#39640;&#32026;&#20013;&#23416;&#27861;.docx" TargetMode="External"/><Relationship Id="rId25" Type="http://schemas.openxmlformats.org/officeDocument/2006/relationships/hyperlink" Target="../law/&#39640;&#32026;&#20013;&#23416;&#27861;.docx" TargetMode="External"/><Relationship Id="rId33" Type="http://schemas.openxmlformats.org/officeDocument/2006/relationships/hyperlink" Target="http://www.ly.gov.tw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../law/&#39640;&#32026;&#20013;&#23416;&#27861;.docx" TargetMode="External"/><Relationship Id="rId20" Type="http://schemas.openxmlformats.org/officeDocument/2006/relationships/hyperlink" Target="../law/&#39640;&#32026;&#20013;&#23416;&#27861;.docx" TargetMode="External"/><Relationship Id="rId29" Type="http://schemas.openxmlformats.org/officeDocument/2006/relationships/hyperlink" Target="../law/&#39640;&#32026;&#20013;&#23416;&#27861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hyperlink" Target="../law/&#39640;&#32026;&#20013;&#23416;&#27861;.docx" TargetMode="External"/><Relationship Id="rId32" Type="http://schemas.openxmlformats.org/officeDocument/2006/relationships/hyperlink" Target="http://www.president.gov.tw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6law.idv.tw/6law/law3/&#39640;&#32026;&#20013;&#23416;&#27861;&#26045;&#34892;&#32048;&#21063;.htm" TargetMode="External"/><Relationship Id="rId23" Type="http://schemas.openxmlformats.org/officeDocument/2006/relationships/hyperlink" Target="../diff/index.html" TargetMode="External"/><Relationship Id="rId28" Type="http://schemas.openxmlformats.org/officeDocument/2006/relationships/hyperlink" Target="../law/&#39640;&#32026;&#20013;&#23416;&#27861;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w.moj.gov.tw/LawClass/LawHistoryIf.aspx?PCode=H0060011" TargetMode="External"/><Relationship Id="rId19" Type="http://schemas.openxmlformats.org/officeDocument/2006/relationships/hyperlink" Target="../law/&#39640;&#32026;&#20013;&#23416;&#27861;.docx" TargetMode="External"/><Relationship Id="rId31" Type="http://schemas.openxmlformats.org/officeDocument/2006/relationships/hyperlink" Target="../law/&#39640;&#32026;&#20013;&#23416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law.idv.tw/update.htm" TargetMode="External"/><Relationship Id="rId14" Type="http://schemas.openxmlformats.org/officeDocument/2006/relationships/hyperlink" Target="../S-link&#20998;&#39006;&#27861;&#35215;&#32034;&#24341;02.docx" TargetMode="External"/><Relationship Id="rId22" Type="http://schemas.openxmlformats.org/officeDocument/2006/relationships/hyperlink" Target="../law/&#39640;&#32026;&#20013;&#23416;&#27861;.docx" TargetMode="External"/><Relationship Id="rId27" Type="http://schemas.openxmlformats.org/officeDocument/2006/relationships/hyperlink" Target="../law/&#39640;&#32026;&#20013;&#23416;&#27861;.docx" TargetMode="External"/><Relationship Id="rId30" Type="http://schemas.openxmlformats.org/officeDocument/2006/relationships/hyperlink" Target="../law/&#39640;&#32026;&#20013;&#23416;&#27861;.docx" TargetMode="External"/><Relationship Id="rId35" Type="http://schemas.openxmlformats.org/officeDocument/2006/relationships/hyperlink" Target="mailto:anita399646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Links>
    <vt:vector size="168" baseType="variant">
      <vt:variant>
        <vt:i4>2949124</vt:i4>
      </vt:variant>
      <vt:variant>
        <vt:i4>81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-1205852659</vt:i4>
      </vt:variant>
      <vt:variant>
        <vt:i4>72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a26</vt:lpwstr>
      </vt:variant>
      <vt:variant>
        <vt:i4>-1205852659</vt:i4>
      </vt:variant>
      <vt:variant>
        <vt:i4>69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a24</vt:lpwstr>
      </vt:variant>
      <vt:variant>
        <vt:i4>-1205852659</vt:i4>
      </vt:variant>
      <vt:variant>
        <vt:i4>66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a23</vt:lpwstr>
      </vt:variant>
      <vt:variant>
        <vt:i4>-1205852659</vt:i4>
      </vt:variant>
      <vt:variant>
        <vt:i4>63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a22</vt:lpwstr>
      </vt:variant>
      <vt:variant>
        <vt:i4>-1205197299</vt:i4>
      </vt:variant>
      <vt:variant>
        <vt:i4>60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a8</vt:lpwstr>
      </vt:variant>
      <vt:variant>
        <vt:i4>-1205131763</vt:i4>
      </vt:variant>
      <vt:variant>
        <vt:i4>57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a9</vt:lpwstr>
      </vt:variant>
      <vt:variant>
        <vt:i4>-1205524979</vt:i4>
      </vt:variant>
      <vt:variant>
        <vt:i4>54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a7</vt:lpwstr>
      </vt:variant>
      <vt:variant>
        <vt:i4>-1205590515</vt:i4>
      </vt:variant>
      <vt:variant>
        <vt:i4>51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a6</vt:lpwstr>
      </vt:variant>
      <vt:variant>
        <vt:i4>4063358</vt:i4>
      </vt:variant>
      <vt:variant>
        <vt:i4>48</vt:i4>
      </vt:variant>
      <vt:variant>
        <vt:i4>0</vt:i4>
      </vt:variant>
      <vt:variant>
        <vt:i4>5</vt:i4>
      </vt:variant>
      <vt:variant>
        <vt:lpwstr>../diff/index.html</vt:lpwstr>
      </vt:variant>
      <vt:variant>
        <vt:lpwstr/>
      </vt:variant>
      <vt:variant>
        <vt:i4>-1205524979</vt:i4>
      </vt:variant>
      <vt:variant>
        <vt:i4>45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a7</vt:lpwstr>
      </vt:variant>
      <vt:variant>
        <vt:i4>-1205590515</vt:i4>
      </vt:variant>
      <vt:variant>
        <vt:i4>42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a6</vt:lpwstr>
      </vt:variant>
      <vt:variant>
        <vt:i4>-1205393907</vt:i4>
      </vt:variant>
      <vt:variant>
        <vt:i4>39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a5</vt:lpwstr>
      </vt:variant>
      <vt:variant>
        <vt:i4>-1205787123</vt:i4>
      </vt:variant>
      <vt:variant>
        <vt:i4>36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a3</vt:lpwstr>
      </vt:variant>
      <vt:variant>
        <vt:i4>-1205787123</vt:i4>
      </vt:variant>
      <vt:variant>
        <vt:i4>33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a3</vt:lpwstr>
      </vt:variant>
      <vt:variant>
        <vt:i4>-1205787123</vt:i4>
      </vt:variant>
      <vt:variant>
        <vt:i4>30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a3</vt:lpwstr>
      </vt:variant>
      <vt:variant>
        <vt:i4>-1205787123</vt:i4>
      </vt:variant>
      <vt:variant>
        <vt:i4>27</vt:i4>
      </vt:variant>
      <vt:variant>
        <vt:i4>0</vt:i4>
      </vt:variant>
      <vt:variant>
        <vt:i4>5</vt:i4>
      </vt:variant>
      <vt:variant>
        <vt:lpwstr>..\law\高級中學法.doc</vt:lpwstr>
      </vt:variant>
      <vt:variant>
        <vt:lpwstr>a30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3670113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a8</vt:lpwstr>
      </vt:variant>
      <vt:variant>
        <vt:i4>1651195541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http://www.6law.idv.tw/6law/law3/高級中學法施行細則.htm</vt:lpwstr>
      </vt:variant>
      <vt:variant>
        <vt:lpwstr/>
      </vt:variant>
      <vt:variant>
        <vt:i4>2100330192</vt:i4>
      </vt:variant>
      <vt:variant>
        <vt:i4>15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高級中學法施行細則</vt:lpwstr>
      </vt:variant>
      <vt:variant>
        <vt:i4>-2073536380</vt:i4>
      </vt:variant>
      <vt:variant>
        <vt:i4>12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高級中學法施行細則</vt:lpwstr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http://law.moj.gov.tw/LawClass/LawHistoryIf.aspx?PCode=H0060011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廢:高級中學法施行細則</dc:title>
  <dc:subject/>
  <dc:creator>S-link 電子六法-黃婉玲</dc:creator>
  <cp:keywords/>
  <dc:description/>
  <cp:lastModifiedBy>Anita</cp:lastModifiedBy>
  <cp:revision>5</cp:revision>
  <dcterms:created xsi:type="dcterms:W3CDTF">2014-11-27T23:39:00Z</dcterms:created>
  <dcterms:modified xsi:type="dcterms:W3CDTF">2015-10-06T04:06:00Z</dcterms:modified>
</cp:coreProperties>
</file>