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6D7F" w14:textId="59462109" w:rsidR="002B5901" w:rsidRDefault="00F939EC" w:rsidP="002B5901">
      <w:pPr>
        <w:adjustRightInd w:val="0"/>
        <w:snapToGrid w:val="0"/>
        <w:ind w:rightChars="8" w:right="16"/>
        <w:jc w:val="right"/>
        <w:rPr>
          <w:rFonts w:ascii="Arial Unicode MS" w:hAnsi="Arial Unicode MS"/>
        </w:rPr>
      </w:pPr>
      <w:hyperlink r:id="rId7" w:history="1">
        <w:r w:rsidR="00ED2CC9">
          <w:rPr>
            <w:rFonts w:ascii="Calibri" w:hAnsi="Calibri"/>
            <w:noProof/>
            <w:color w:val="5F5F5F"/>
            <w:sz w:val="18"/>
            <w:szCs w:val="20"/>
            <w:lang w:val="zh-TW"/>
          </w:rPr>
          <w:pict w14:anchorId="24E0A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3C24574F" w14:textId="2D8FD72F"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446FD2" w:rsidRPr="0039395A">
        <w:rPr>
          <w:sz w:val="18"/>
        </w:rPr>
        <w:t>2022/6/5</w:t>
      </w:r>
      <w:r>
        <w:rPr>
          <w:rFonts w:hint="eastAsia"/>
          <w:color w:val="7F7F7F"/>
          <w:sz w:val="18"/>
          <w:szCs w:val="20"/>
          <w:lang w:val="zh-TW"/>
        </w:rPr>
        <w:t>【</w:t>
      </w:r>
      <w:hyperlink r:id="rId10" w:history="1">
        <w:r w:rsidRPr="00AB668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936580D" w14:textId="59B77607"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w:t>
      </w:r>
      <w:r w:rsidR="008342B2">
        <w:rPr>
          <w:rFonts w:hint="eastAsia"/>
          <w:color w:val="808000"/>
          <w:sz w:val="18"/>
          <w:szCs w:val="20"/>
        </w:rPr>
        <w:t>工具列</w:t>
      </w:r>
      <w:r w:rsidR="008342B2">
        <w:rPr>
          <w:rFonts w:hint="eastAsia"/>
          <w:color w:val="808000"/>
          <w:sz w:val="18"/>
          <w:szCs w:val="20"/>
        </w:rPr>
        <w:t>--</w:t>
      </w:r>
      <w:r w:rsidR="00446FD2">
        <w:rPr>
          <w:rFonts w:hint="eastAsia"/>
          <w:color w:val="808000"/>
          <w:sz w:val="18"/>
          <w:szCs w:val="20"/>
        </w:rPr>
        <w:t>〉</w:t>
      </w:r>
      <w:r w:rsidR="008342B2">
        <w:rPr>
          <w:rFonts w:hint="eastAsia"/>
          <w:color w:val="808000"/>
          <w:sz w:val="18"/>
          <w:szCs w:val="20"/>
        </w:rPr>
        <w:t>檢視</w:t>
      </w:r>
      <w:r w:rsidR="008342B2">
        <w:rPr>
          <w:rFonts w:hint="eastAsia"/>
          <w:color w:val="808000"/>
          <w:sz w:val="18"/>
          <w:szCs w:val="20"/>
        </w:rPr>
        <w:t>--</w:t>
      </w:r>
      <w:r w:rsidR="00446FD2">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1"/>
        <w:gridCol w:w="2428"/>
      </w:tblGrid>
      <w:tr w:rsidR="00CF2D69" w14:paraId="709DC102" w14:textId="77777777" w:rsidTr="00ED2CC9">
        <w:trPr>
          <w:cantSplit/>
          <w:tblCellSpacing w:w="0" w:type="dxa"/>
        </w:trPr>
        <w:tc>
          <w:tcPr>
            <w:tcW w:w="486" w:type="pct"/>
            <w:tcBorders>
              <w:top w:val="nil"/>
              <w:left w:val="nil"/>
              <w:bottom w:val="nil"/>
              <w:right w:val="nil"/>
            </w:tcBorders>
            <w:shd w:val="clear" w:color="auto" w:fill="339966"/>
            <w:vAlign w:val="center"/>
          </w:tcPr>
          <w:p w14:paraId="14DCC936" w14:textId="58FE55B1" w:rsidR="00CF2D69" w:rsidRPr="00B05CC6" w:rsidRDefault="00446FD2" w:rsidP="002B5901">
            <w:pPr>
              <w:ind w:leftChars="-6" w:left="-12"/>
              <w:jc w:val="center"/>
              <w:rPr>
                <w:rFonts w:ascii="新細明體" w:hAnsi="新細明體"/>
                <w:b/>
                <w:bCs/>
                <w:color w:val="FFFFFF"/>
                <w:szCs w:val="20"/>
              </w:rPr>
            </w:pPr>
            <w:r w:rsidRPr="00446FD2">
              <w:rPr>
                <w:rFonts w:hint="eastAsia"/>
                <w:b/>
                <w:color w:val="FFFFFF"/>
                <w:sz w:val="18"/>
              </w:rPr>
              <w:t>法規名稱</w:t>
            </w:r>
          </w:p>
        </w:tc>
        <w:tc>
          <w:tcPr>
            <w:tcW w:w="3308" w:type="pct"/>
            <w:tcBorders>
              <w:top w:val="nil"/>
              <w:left w:val="nil"/>
              <w:bottom w:val="nil"/>
              <w:right w:val="nil"/>
            </w:tcBorders>
            <w:shd w:val="clear" w:color="auto" w:fill="F3F3F3"/>
            <w:vAlign w:val="center"/>
          </w:tcPr>
          <w:p w14:paraId="751FD1F7" w14:textId="61FD9157" w:rsidR="00CF2D69" w:rsidRPr="00B67389" w:rsidRDefault="00ED2CC9" w:rsidP="004C53CF">
            <w:pPr>
              <w:jc w:val="center"/>
              <w:rPr>
                <w:rFonts w:ascii="新細明體" w:eastAsia="標楷體" w:hAnsi="新細明體"/>
                <w:bCs/>
                <w:shadow/>
                <w:color w:val="993366"/>
                <w:sz w:val="26"/>
                <w:szCs w:val="26"/>
              </w:rPr>
            </w:pPr>
            <w:r w:rsidRPr="00ED2CC9">
              <w:rPr>
                <w:rFonts w:ascii="新細明體" w:eastAsia="標楷體" w:hAnsi="新細明體" w:hint="eastAsia"/>
                <w:bCs/>
                <w:shadow/>
                <w:color w:val="993366"/>
                <w:sz w:val="26"/>
                <w:szCs w:val="26"/>
              </w:rPr>
              <w:t>廢</w:t>
            </w:r>
            <w:r w:rsidRPr="00ED2CC9">
              <w:rPr>
                <w:rFonts w:ascii="新細明體" w:eastAsia="標楷體" w:hAnsi="新細明體" w:hint="eastAsia"/>
                <w:bCs/>
                <w:shadow/>
                <w:color w:val="993366"/>
                <w:sz w:val="26"/>
                <w:szCs w:val="26"/>
              </w:rPr>
              <w:t>:</w:t>
            </w:r>
            <w:r w:rsidR="00E31763" w:rsidRPr="00B67389">
              <w:rPr>
                <w:rFonts w:ascii="新細明體" w:eastAsia="標楷體" w:hAnsi="新細明體" w:hint="eastAsia"/>
                <w:bCs/>
                <w:shadow/>
                <w:color w:val="993366"/>
                <w:sz w:val="26"/>
                <w:szCs w:val="26"/>
              </w:rPr>
              <w:t>民用航空運輸業個人資料檔案安全維護計畫及處理辦法</w:t>
            </w:r>
          </w:p>
        </w:tc>
        <w:tc>
          <w:tcPr>
            <w:tcW w:w="1206" w:type="pct"/>
            <w:tcBorders>
              <w:top w:val="nil"/>
              <w:left w:val="nil"/>
              <w:bottom w:val="nil"/>
              <w:right w:val="nil"/>
            </w:tcBorders>
            <w:shd w:val="clear" w:color="auto" w:fill="F3F3F3"/>
            <w:vAlign w:val="center"/>
          </w:tcPr>
          <w:p w14:paraId="60C6D728" w14:textId="26DD984C" w:rsidR="004C53CF" w:rsidRPr="00B67389" w:rsidRDefault="00CF2D69" w:rsidP="004C53CF">
            <w:pPr>
              <w:rPr>
                <w:rFonts w:ascii="Arial Unicode MS" w:hAnsi="Arial Unicode MS"/>
                <w:color w:val="993366"/>
              </w:rPr>
            </w:pPr>
            <w:r w:rsidRPr="00B67389">
              <w:rPr>
                <w:rFonts w:ascii="新細明體" w:hAnsi="新細明體"/>
                <w:color w:val="993366"/>
              </w:rPr>
              <w:t>【</w:t>
            </w:r>
            <w:r w:rsidR="00446FD2" w:rsidRPr="00B67389">
              <w:rPr>
                <w:rFonts w:ascii="新細明體" w:hAnsi="新細明體" w:hint="eastAsia"/>
                <w:color w:val="993366"/>
              </w:rPr>
              <w:t>發</w:t>
            </w:r>
            <w:r w:rsidRPr="00B67389">
              <w:rPr>
                <w:rFonts w:ascii="新細明體" w:hAnsi="新細明體"/>
                <w:color w:val="993366"/>
              </w:rPr>
              <w:t>布日期】</w:t>
            </w:r>
            <w:r w:rsidR="00B67389" w:rsidRPr="00B67389">
              <w:rPr>
                <w:rFonts w:ascii="Arial Unicode MS" w:hAnsi="Arial Unicode MS"/>
                <w:color w:val="993366"/>
              </w:rPr>
              <w:t>111.06.01</w:t>
            </w:r>
          </w:p>
          <w:p w14:paraId="4738FF0F" w14:textId="3CC0AEF5" w:rsidR="00CF2D69" w:rsidRPr="00B67389" w:rsidRDefault="00CF2D69" w:rsidP="00704646">
            <w:pPr>
              <w:rPr>
                <w:color w:val="993366"/>
              </w:rPr>
            </w:pPr>
            <w:r w:rsidRPr="00B67389">
              <w:rPr>
                <w:rFonts w:ascii="新細明體" w:hAnsi="新細明體"/>
                <w:color w:val="993366"/>
              </w:rPr>
              <w:t>【</w:t>
            </w:r>
            <w:r w:rsidR="00446FD2" w:rsidRPr="00B67389">
              <w:rPr>
                <w:rFonts w:ascii="新細明體" w:hAnsi="新細明體" w:hint="eastAsia"/>
                <w:color w:val="993366"/>
              </w:rPr>
              <w:t>發</w:t>
            </w:r>
            <w:r w:rsidRPr="00B67389">
              <w:rPr>
                <w:rFonts w:ascii="新細明體" w:hAnsi="新細明體"/>
                <w:color w:val="993366"/>
              </w:rPr>
              <w:t>布機關】</w:t>
            </w:r>
            <w:hyperlink r:id="rId14" w:tgtFrame="_blank" w:history="1">
              <w:r w:rsidR="00B67389" w:rsidRPr="00B67389">
                <w:rPr>
                  <w:rStyle w:val="a3"/>
                  <w:sz w:val="18"/>
                </w:rPr>
                <w:t>交通部</w:t>
              </w:r>
            </w:hyperlink>
          </w:p>
        </w:tc>
      </w:tr>
    </w:tbl>
    <w:p w14:paraId="6F024C68" w14:textId="707AC6F9"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民用航空運輸業個人資料檔案安全維護計畫及處理辦法" w:history="1">
        <w:r w:rsidR="00F47DD4" w:rsidRPr="007E576E">
          <w:rPr>
            <w:rStyle w:val="a3"/>
            <w:rFonts w:ascii="Arial Unicode MS" w:hAnsi="Arial Unicode MS" w:hint="eastAsia"/>
            <w:sz w:val="18"/>
          </w:rPr>
          <w:t>S-link</w:t>
        </w:r>
        <w:r w:rsidR="00F47DD4" w:rsidRPr="007E576E">
          <w:rPr>
            <w:rStyle w:val="a3"/>
            <w:rFonts w:ascii="Arial Unicode MS" w:hAnsi="Arial Unicode MS" w:hint="eastAsia"/>
            <w:sz w:val="18"/>
          </w:rPr>
          <w:t>索引</w:t>
        </w:r>
      </w:hyperlink>
      <w:r w:rsidR="00446FD2">
        <w:rPr>
          <w:rFonts w:ascii="Arial Unicode MS" w:hAnsi="Arial Unicode MS" w:hint="eastAsia"/>
          <w:b/>
          <w:color w:val="5F5F5F"/>
          <w:sz w:val="18"/>
        </w:rPr>
        <w:t>〉〉</w:t>
      </w:r>
      <w:hyperlink r:id="rId16" w:tgtFrame="_blank" w:history="1">
        <w:r w:rsidR="0037234B" w:rsidRPr="007E576E">
          <w:rPr>
            <w:rStyle w:val="a3"/>
            <w:rFonts w:hint="eastAsia"/>
            <w:sz w:val="18"/>
          </w:rPr>
          <w:t>線上網頁版</w:t>
        </w:r>
      </w:hyperlink>
      <w:r w:rsidR="00446FD2">
        <w:rPr>
          <w:rFonts w:ascii="Arial Unicode MS" w:hAnsi="Arial Unicode MS" w:hint="eastAsia"/>
          <w:b/>
          <w:color w:val="5F5F5F"/>
          <w:sz w:val="18"/>
        </w:rPr>
        <w:t>〉〉</w:t>
      </w:r>
    </w:p>
    <w:p w14:paraId="463A1429"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3D2455C4" w14:textId="77777777" w:rsidR="00E31763" w:rsidRDefault="00E31763" w:rsidP="00E31763">
      <w:pPr>
        <w:ind w:left="142"/>
        <w:jc w:val="both"/>
        <w:rPr>
          <w:rFonts w:ascii="Arial Unicode MS" w:hAnsi="Arial Unicode MS"/>
          <w:sz w:val="18"/>
          <w:szCs w:val="20"/>
        </w:rPr>
      </w:pPr>
      <w:r w:rsidRPr="00E31763">
        <w:rPr>
          <w:rFonts w:ascii="Arial Unicode MS" w:hAnsi="Arial Unicode MS" w:hint="eastAsia"/>
          <w:b/>
          <w:sz w:val="18"/>
          <w:szCs w:val="20"/>
        </w:rPr>
        <w:t>1</w:t>
      </w:r>
      <w:r w:rsidRPr="00E31763">
        <w:rPr>
          <w:rFonts w:ascii="Arial Unicode MS" w:hAnsi="Arial Unicode MS" w:hint="eastAsia"/>
          <w:b/>
          <w:sz w:val="18"/>
          <w:szCs w:val="20"/>
        </w:rPr>
        <w:t>‧</w:t>
      </w:r>
      <w:r w:rsidRPr="00E31763">
        <w:rPr>
          <w:rFonts w:ascii="Arial Unicode MS" w:hAnsi="Arial Unicode MS" w:hint="eastAsia"/>
          <w:sz w:val="18"/>
          <w:szCs w:val="20"/>
        </w:rPr>
        <w:t>中華民國一百零三年十月十六日交通部交航字第</w:t>
      </w:r>
      <w:r w:rsidRPr="00E31763">
        <w:rPr>
          <w:rFonts w:ascii="Arial Unicode MS" w:hAnsi="Arial Unicode MS" w:hint="eastAsia"/>
          <w:sz w:val="18"/>
          <w:szCs w:val="20"/>
        </w:rPr>
        <w:t>10350127241</w:t>
      </w:r>
      <w:r w:rsidRPr="00E31763">
        <w:rPr>
          <w:rFonts w:ascii="Arial Unicode MS" w:hAnsi="Arial Unicode MS" w:hint="eastAsia"/>
          <w:sz w:val="18"/>
          <w:szCs w:val="20"/>
        </w:rPr>
        <w:t>號令訂定發布全文</w:t>
      </w:r>
      <w:r w:rsidRPr="00E31763">
        <w:rPr>
          <w:rFonts w:ascii="Arial Unicode MS" w:hAnsi="Arial Unicode MS" w:hint="eastAsia"/>
          <w:sz w:val="18"/>
          <w:szCs w:val="20"/>
        </w:rPr>
        <w:t>23</w:t>
      </w:r>
      <w:r w:rsidRPr="00E31763">
        <w:rPr>
          <w:rFonts w:ascii="Arial Unicode MS" w:hAnsi="Arial Unicode MS" w:hint="eastAsia"/>
          <w:sz w:val="18"/>
          <w:szCs w:val="20"/>
        </w:rPr>
        <w:t>條；並自一百零四年一月一日施行</w:t>
      </w:r>
    </w:p>
    <w:p w14:paraId="35FB171F" w14:textId="2228A84C" w:rsidR="006620DA" w:rsidRDefault="006620DA" w:rsidP="00E31763">
      <w:pPr>
        <w:ind w:left="142"/>
        <w:jc w:val="both"/>
        <w:rPr>
          <w:rFonts w:ascii="Arial Unicode MS" w:hAnsi="Arial Unicode MS"/>
          <w:sz w:val="18"/>
          <w:szCs w:val="20"/>
        </w:rPr>
      </w:pPr>
      <w:r>
        <w:rPr>
          <w:rFonts w:ascii="Arial Unicode MS" w:hAnsi="Arial Unicode MS" w:hint="eastAsia"/>
          <w:b/>
          <w:sz w:val="18"/>
          <w:szCs w:val="20"/>
        </w:rPr>
        <w:t>2</w:t>
      </w:r>
      <w:r w:rsidRPr="00E31763">
        <w:rPr>
          <w:rFonts w:ascii="Arial Unicode MS" w:hAnsi="Arial Unicode MS" w:hint="eastAsia"/>
          <w:b/>
          <w:sz w:val="18"/>
          <w:szCs w:val="20"/>
        </w:rPr>
        <w:t>‧</w:t>
      </w:r>
      <w:r w:rsidRPr="006620DA">
        <w:rPr>
          <w:rFonts w:ascii="Arial Unicode MS" w:hAnsi="Arial Unicode MS" w:hint="eastAsia"/>
          <w:sz w:val="18"/>
          <w:szCs w:val="20"/>
        </w:rPr>
        <w:t>中華民國一百零四年十二月二日交通部交航字第</w:t>
      </w:r>
      <w:r w:rsidRPr="006620DA">
        <w:rPr>
          <w:rFonts w:ascii="Arial Unicode MS" w:hAnsi="Arial Unicode MS" w:hint="eastAsia"/>
          <w:sz w:val="18"/>
          <w:szCs w:val="20"/>
        </w:rPr>
        <w:t>10450156561</w:t>
      </w:r>
      <w:r w:rsidRPr="006620DA">
        <w:rPr>
          <w:rFonts w:ascii="Arial Unicode MS" w:hAnsi="Arial Unicode MS" w:hint="eastAsia"/>
          <w:sz w:val="18"/>
          <w:szCs w:val="20"/>
        </w:rPr>
        <w:t>號令修正發布第</w:t>
      </w:r>
      <w:hyperlink w:anchor="a6" w:history="1">
        <w:r w:rsidRPr="006620DA">
          <w:rPr>
            <w:rStyle w:val="a3"/>
            <w:rFonts w:ascii="Arial Unicode MS" w:hAnsi="Arial Unicode MS" w:hint="eastAsia"/>
            <w:sz w:val="18"/>
            <w:szCs w:val="20"/>
          </w:rPr>
          <w:t>6</w:t>
        </w:r>
      </w:hyperlink>
      <w:r w:rsidRPr="006620DA">
        <w:rPr>
          <w:rFonts w:ascii="Arial Unicode MS" w:hAnsi="Arial Unicode MS" w:hint="eastAsia"/>
          <w:sz w:val="18"/>
          <w:szCs w:val="20"/>
        </w:rPr>
        <w:t>、</w:t>
      </w:r>
      <w:hyperlink w:anchor="a23" w:history="1">
        <w:r w:rsidRPr="006620DA">
          <w:rPr>
            <w:rStyle w:val="a3"/>
            <w:rFonts w:ascii="Arial Unicode MS" w:hAnsi="Arial Unicode MS" w:hint="eastAsia"/>
            <w:sz w:val="18"/>
            <w:szCs w:val="20"/>
          </w:rPr>
          <w:t>23</w:t>
        </w:r>
      </w:hyperlink>
      <w:r w:rsidRPr="006620DA">
        <w:rPr>
          <w:rFonts w:ascii="Arial Unicode MS" w:hAnsi="Arial Unicode MS" w:hint="eastAsia"/>
          <w:sz w:val="18"/>
          <w:szCs w:val="20"/>
        </w:rPr>
        <w:t>條條文；並自發布日施行</w:t>
      </w:r>
    </w:p>
    <w:p w14:paraId="3536D4C4" w14:textId="0FAE1591" w:rsidR="00B67389" w:rsidRPr="00E31763" w:rsidRDefault="00B67389" w:rsidP="00B67389">
      <w:pPr>
        <w:ind w:left="142"/>
        <w:jc w:val="both"/>
        <w:rPr>
          <w:rFonts w:ascii="Arial Unicode MS" w:hAnsi="Arial Unicode MS"/>
          <w:sz w:val="18"/>
          <w:szCs w:val="20"/>
        </w:rPr>
      </w:pPr>
      <w:r w:rsidRPr="00906EC8">
        <w:rPr>
          <w:rFonts w:ascii="Arial Unicode MS" w:hAnsi="Arial Unicode MS" w:hint="eastAsia"/>
          <w:b/>
          <w:sz w:val="18"/>
          <w:szCs w:val="20"/>
        </w:rPr>
        <w:t>3</w:t>
      </w:r>
      <w:r w:rsidRPr="00906EC8">
        <w:rPr>
          <w:rFonts w:ascii="Arial Unicode MS" w:hAnsi="Arial Unicode MS" w:hint="eastAsia"/>
          <w:b/>
          <w:sz w:val="18"/>
          <w:szCs w:val="20"/>
        </w:rPr>
        <w:t>‧</w:t>
      </w:r>
      <w:r w:rsidRPr="00906EC8">
        <w:rPr>
          <w:rFonts w:ascii="Arial Unicode MS" w:hAnsi="Arial Unicode MS" w:hint="eastAsia"/>
          <w:sz w:val="18"/>
          <w:szCs w:val="20"/>
        </w:rPr>
        <w:t>中華民國一百十一年六月一日交通部交航字第</w:t>
      </w:r>
      <w:r w:rsidRPr="00906EC8">
        <w:rPr>
          <w:rFonts w:ascii="Arial Unicode MS" w:hAnsi="Arial Unicode MS" w:hint="eastAsia"/>
          <w:sz w:val="18"/>
          <w:szCs w:val="20"/>
        </w:rPr>
        <w:t>11100143141</w:t>
      </w:r>
      <w:r w:rsidRPr="00906EC8">
        <w:rPr>
          <w:rFonts w:ascii="Arial Unicode MS" w:hAnsi="Arial Unicode MS" w:hint="eastAsia"/>
          <w:sz w:val="18"/>
          <w:szCs w:val="20"/>
        </w:rPr>
        <w:t>號令修正發布名稱</w:t>
      </w:r>
      <w:r>
        <w:rPr>
          <w:rFonts w:ascii="Arial Unicode MS" w:hAnsi="Arial Unicode MS" w:hint="eastAsia"/>
          <w:sz w:val="18"/>
          <w:szCs w:val="20"/>
        </w:rPr>
        <w:t>(</w:t>
      </w:r>
      <w:hyperlink r:id="rId17" w:history="1">
        <w:r w:rsidRPr="00B67389">
          <w:rPr>
            <w:rStyle w:val="a3"/>
            <w:rFonts w:ascii="Arial Unicode MS" w:hAnsi="Arial Unicode MS" w:hint="eastAsia"/>
            <w:sz w:val="18"/>
            <w:szCs w:val="20"/>
          </w:rPr>
          <w:t>民用航空事業個人資料檔案安全維護計畫及處理辦法</w:t>
        </w:r>
      </w:hyperlink>
      <w:r>
        <w:rPr>
          <w:rFonts w:ascii="Arial Unicode MS" w:hAnsi="Arial Unicode MS" w:hint="eastAsia"/>
          <w:sz w:val="18"/>
          <w:szCs w:val="20"/>
        </w:rPr>
        <w:t>)</w:t>
      </w:r>
      <w:r w:rsidRPr="00906EC8">
        <w:rPr>
          <w:rFonts w:ascii="Arial Unicode MS" w:hAnsi="Arial Unicode MS" w:hint="eastAsia"/>
          <w:sz w:val="18"/>
          <w:szCs w:val="20"/>
        </w:rPr>
        <w:t>及第</w:t>
      </w:r>
      <w:r w:rsidRPr="00906EC8">
        <w:rPr>
          <w:rFonts w:ascii="Arial Unicode MS" w:hAnsi="Arial Unicode MS" w:hint="eastAsia"/>
          <w:sz w:val="18"/>
          <w:szCs w:val="20"/>
        </w:rPr>
        <w:t>2</w:t>
      </w:r>
      <w:r w:rsidRPr="00906EC8">
        <w:rPr>
          <w:rFonts w:ascii="Arial Unicode MS" w:hAnsi="Arial Unicode MS" w:hint="eastAsia"/>
          <w:sz w:val="18"/>
          <w:szCs w:val="20"/>
        </w:rPr>
        <w:t>、</w:t>
      </w:r>
      <w:r w:rsidRPr="00906EC8">
        <w:rPr>
          <w:rFonts w:ascii="Arial Unicode MS" w:hAnsi="Arial Unicode MS" w:hint="eastAsia"/>
          <w:sz w:val="18"/>
          <w:szCs w:val="20"/>
        </w:rPr>
        <w:t>6</w:t>
      </w:r>
      <w:r w:rsidRPr="00906EC8">
        <w:rPr>
          <w:rFonts w:ascii="Arial Unicode MS" w:hAnsi="Arial Unicode MS" w:hint="eastAsia"/>
          <w:sz w:val="18"/>
          <w:szCs w:val="20"/>
        </w:rPr>
        <w:t>、</w:t>
      </w:r>
      <w:r w:rsidRPr="00906EC8">
        <w:rPr>
          <w:rFonts w:ascii="Arial Unicode MS" w:hAnsi="Arial Unicode MS" w:hint="eastAsia"/>
          <w:sz w:val="18"/>
          <w:szCs w:val="20"/>
        </w:rPr>
        <w:t>12</w:t>
      </w:r>
      <w:r w:rsidRPr="00906EC8">
        <w:rPr>
          <w:rFonts w:ascii="Arial Unicode MS" w:hAnsi="Arial Unicode MS" w:hint="eastAsia"/>
          <w:sz w:val="18"/>
          <w:szCs w:val="20"/>
        </w:rPr>
        <w:t>條條文；增訂第</w:t>
      </w:r>
      <w:r w:rsidRPr="00906EC8">
        <w:rPr>
          <w:rFonts w:ascii="Arial Unicode MS" w:hAnsi="Arial Unicode MS" w:hint="eastAsia"/>
          <w:sz w:val="18"/>
          <w:szCs w:val="20"/>
        </w:rPr>
        <w:t>17-1</w:t>
      </w:r>
      <w:r w:rsidRPr="00906EC8">
        <w:rPr>
          <w:rFonts w:ascii="Arial Unicode MS" w:hAnsi="Arial Unicode MS" w:hint="eastAsia"/>
          <w:sz w:val="18"/>
          <w:szCs w:val="20"/>
        </w:rPr>
        <w:t>條條文</w:t>
      </w:r>
    </w:p>
    <w:p w14:paraId="0CCD25FB" w14:textId="77777777" w:rsidR="00B67389" w:rsidRPr="00B67389" w:rsidRDefault="00B67389" w:rsidP="00E31763">
      <w:pPr>
        <w:ind w:left="142"/>
        <w:jc w:val="both"/>
        <w:rPr>
          <w:rFonts w:ascii="Arial Unicode MS" w:hAnsi="Arial Unicode MS"/>
          <w:sz w:val="18"/>
          <w:szCs w:val="20"/>
        </w:rPr>
      </w:pPr>
    </w:p>
    <w:p w14:paraId="72B0FCC6" w14:textId="71D32707" w:rsidR="006712A6" w:rsidRPr="000B5372" w:rsidRDefault="00DA186A" w:rsidP="000B5372">
      <w:pPr>
        <w:pStyle w:val="1"/>
        <w:rPr>
          <w:color w:val="990000"/>
        </w:rPr>
      </w:pPr>
      <w:r>
        <w:rPr>
          <w:color w:val="990000"/>
        </w:rPr>
        <w:t>【法規內容】</w:t>
      </w:r>
    </w:p>
    <w:p w14:paraId="58C034C9"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w:t>
      </w:r>
      <w:r w:rsidR="00DA186A">
        <w:rPr>
          <w:rFonts w:hint="eastAsia"/>
          <w:color w:val="548DD4"/>
        </w:rPr>
        <w:t>條</w:t>
      </w:r>
    </w:p>
    <w:p w14:paraId="0633EF1C" w14:textId="3A89F57A"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本辦法依個人資料保護法（以下簡稱本法）</w:t>
      </w:r>
      <w:r w:rsidR="00072E2E" w:rsidRPr="00800D50">
        <w:rPr>
          <w:rFonts w:ascii="Arial Unicode MS" w:hAnsi="Arial Unicode MS" w:hint="eastAsia"/>
        </w:rPr>
        <w:t>第</w:t>
      </w:r>
      <w:hyperlink r:id="rId18" w:anchor="a27" w:history="1">
        <w:r w:rsidR="00072E2E" w:rsidRPr="00312733">
          <w:rPr>
            <w:rStyle w:val="a3"/>
            <w:rFonts w:ascii="Arial Unicode MS" w:hAnsi="Arial Unicode MS" w:hint="eastAsia"/>
          </w:rPr>
          <w:t>二十七</w:t>
        </w:r>
      </w:hyperlink>
      <w:r w:rsidR="00072E2E" w:rsidRPr="00800D50">
        <w:rPr>
          <w:rFonts w:ascii="Arial Unicode MS" w:hAnsi="Arial Unicode MS" w:hint="eastAsia"/>
        </w:rPr>
        <w:t>條</w:t>
      </w:r>
      <w:r w:rsidR="00E31763" w:rsidRPr="008F26CD">
        <w:rPr>
          <w:rFonts w:ascii="Arial Unicode MS" w:hAnsi="Arial Unicode MS" w:hint="eastAsia"/>
          <w:szCs w:val="20"/>
        </w:rPr>
        <w:t>第三項規定訂定之。</w:t>
      </w:r>
    </w:p>
    <w:p w14:paraId="2634B8D3"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2</w:t>
      </w:r>
      <w:r w:rsidR="00DA186A">
        <w:rPr>
          <w:rFonts w:hint="eastAsia"/>
          <w:color w:val="548DD4"/>
        </w:rPr>
        <w:t>條</w:t>
      </w:r>
    </w:p>
    <w:p w14:paraId="7900B16D" w14:textId="4F96D233" w:rsidR="00DA186A" w:rsidRDefault="00116452" w:rsidP="00E31763">
      <w:pPr>
        <w:ind w:left="142"/>
        <w:jc w:val="both"/>
        <w:rPr>
          <w:rFonts w:ascii="Arial Unicode MS" w:hAnsi="Arial Unicode MS" w:hint="eastAsia"/>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本辦法適用對象為經營定期航線之中外籍民用航空運輸業（以下簡稱業者）</w:t>
      </w:r>
      <w:r w:rsidR="00DA186A">
        <w:rPr>
          <w:rFonts w:ascii="Arial Unicode MS" w:hAnsi="Arial Unicode MS" w:hint="eastAsia"/>
          <w:szCs w:val="20"/>
        </w:rPr>
        <w:t>。</w:t>
      </w:r>
    </w:p>
    <w:p w14:paraId="7E58D9B6" w14:textId="2715B361" w:rsidR="00DA186A" w:rsidRDefault="00116452" w:rsidP="00E31763">
      <w:pPr>
        <w:ind w:left="142"/>
        <w:jc w:val="both"/>
        <w:rPr>
          <w:rFonts w:ascii="Arial Unicode MS" w:hAnsi="Arial Unicode MS" w:hint="eastAsia"/>
          <w:szCs w:val="20"/>
        </w:rPr>
      </w:pPr>
      <w:r w:rsidRPr="00F939EC">
        <w:rPr>
          <w:rFonts w:ascii="Calibri" w:hAnsi="Calibri" w:hint="eastAsia"/>
          <w:color w:val="404040"/>
          <w:sz w:val="18"/>
          <w:szCs w:val="20"/>
        </w:rPr>
        <w:t>﹝</w:t>
      </w:r>
      <w:r w:rsidRPr="00F939EC">
        <w:rPr>
          <w:rFonts w:ascii="Calibri" w:hAnsi="Calibri" w:hint="eastAsia"/>
          <w:color w:val="404040"/>
          <w:sz w:val="18"/>
          <w:szCs w:val="20"/>
        </w:rPr>
        <w:t>2</w:t>
      </w:r>
      <w:r w:rsidRPr="00F939EC">
        <w:rPr>
          <w:rFonts w:ascii="Calibri" w:hAnsi="Calibri" w:hint="eastAsia"/>
          <w:color w:val="404040"/>
          <w:sz w:val="18"/>
          <w:szCs w:val="20"/>
        </w:rPr>
        <w:t>﹞</w:t>
      </w:r>
      <w:r w:rsidR="00DA186A" w:rsidRPr="008F4137">
        <w:rPr>
          <w:rFonts w:ascii="Arial Unicode MS" w:hAnsi="Arial Unicode MS" w:hint="eastAsia"/>
          <w:color w:val="17365D"/>
          <w:szCs w:val="20"/>
        </w:rPr>
        <w:t>業者應訂定個人資料檔案安全維護計畫（以下簡稱本計畫），以落實個人資料檔案之安全維護與管理，防止個人資料被竊取、竄改、毀損、滅失或洩漏</w:t>
      </w:r>
      <w:r w:rsidR="00DA186A">
        <w:rPr>
          <w:rFonts w:ascii="Arial Unicode MS" w:hAnsi="Arial Unicode MS" w:hint="eastAsia"/>
          <w:szCs w:val="20"/>
        </w:rPr>
        <w:t>。</w:t>
      </w:r>
    </w:p>
    <w:p w14:paraId="0308C86A" w14:textId="7EA838D6"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szCs w:val="20"/>
        </w:rPr>
        <w:t>﹝</w:t>
      </w:r>
      <w:r w:rsidRPr="00F939EC">
        <w:rPr>
          <w:rFonts w:ascii="Calibri" w:hAnsi="Calibri" w:hint="eastAsia"/>
          <w:color w:val="404040"/>
          <w:sz w:val="18"/>
          <w:szCs w:val="20"/>
        </w:rPr>
        <w:t>3</w:t>
      </w:r>
      <w:r w:rsidRPr="00F939EC">
        <w:rPr>
          <w:rFonts w:ascii="Calibri" w:hAnsi="Calibri" w:hint="eastAsia"/>
          <w:color w:val="404040"/>
          <w:sz w:val="18"/>
          <w:szCs w:val="20"/>
        </w:rPr>
        <w:t>﹞</w:t>
      </w:r>
      <w:r w:rsidR="00E31763" w:rsidRPr="008F26CD">
        <w:rPr>
          <w:rFonts w:ascii="Arial Unicode MS" w:hAnsi="Arial Unicode MS" w:hint="eastAsia"/>
          <w:szCs w:val="20"/>
        </w:rPr>
        <w:t>本計畫之內容應包括</w:t>
      </w:r>
      <w:hyperlink w:anchor="a3" w:history="1">
        <w:r w:rsidR="00E31763" w:rsidRPr="00C650C0">
          <w:rPr>
            <w:rStyle w:val="a3"/>
            <w:rFonts w:ascii="Arial Unicode MS" w:hAnsi="Arial Unicode MS" w:hint="eastAsia"/>
            <w:szCs w:val="20"/>
          </w:rPr>
          <w:t>第三條</w:t>
        </w:r>
      </w:hyperlink>
      <w:r w:rsidR="00E31763" w:rsidRPr="008F26CD">
        <w:rPr>
          <w:rFonts w:ascii="Arial Unicode MS" w:hAnsi="Arial Unicode MS" w:hint="eastAsia"/>
          <w:szCs w:val="20"/>
        </w:rPr>
        <w:t>至第二十二條規定之相關組織及程序，並應定期檢視及配合相關法令修正。</w:t>
      </w:r>
    </w:p>
    <w:p w14:paraId="375104C1" w14:textId="77777777" w:rsidR="00DA186A" w:rsidRDefault="00E31763" w:rsidP="008F4137">
      <w:pPr>
        <w:pStyle w:val="2"/>
        <w:rPr>
          <w:rFonts w:hint="eastAsia"/>
          <w:color w:val="548DD4"/>
        </w:rPr>
      </w:pPr>
      <w:bookmarkStart w:id="1" w:name="a3"/>
      <w:bookmarkEnd w:id="1"/>
      <w:r w:rsidRPr="00FD0788">
        <w:rPr>
          <w:rFonts w:hint="eastAsia"/>
          <w:color w:val="548DD4"/>
        </w:rPr>
        <w:t>第</w:t>
      </w:r>
      <w:r w:rsidRPr="00FD0788">
        <w:rPr>
          <w:rFonts w:hint="eastAsia"/>
          <w:color w:val="548DD4"/>
        </w:rPr>
        <w:t>3</w:t>
      </w:r>
      <w:r w:rsidR="00DA186A">
        <w:rPr>
          <w:rFonts w:hint="eastAsia"/>
          <w:color w:val="548DD4"/>
        </w:rPr>
        <w:t>條</w:t>
      </w:r>
    </w:p>
    <w:p w14:paraId="52EBA183" w14:textId="5FF65316" w:rsidR="00DA186A" w:rsidRDefault="00116452" w:rsidP="00E31763">
      <w:pPr>
        <w:ind w:left="142"/>
        <w:jc w:val="both"/>
        <w:rPr>
          <w:rFonts w:ascii="Arial Unicode MS" w:hAnsi="Arial Unicode MS" w:hint="eastAsia"/>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業者就個人資料檔案安全維護管理得指定專人或建立專責組織，並配置相當資源</w:t>
      </w:r>
      <w:r w:rsidR="00DA186A">
        <w:rPr>
          <w:rFonts w:ascii="Arial Unicode MS" w:hAnsi="Arial Unicode MS" w:hint="eastAsia"/>
          <w:szCs w:val="20"/>
        </w:rPr>
        <w:t>。</w:t>
      </w:r>
    </w:p>
    <w:p w14:paraId="11C22416" w14:textId="4227A3EF" w:rsidR="00E31763" w:rsidRPr="008F4137" w:rsidRDefault="00116452" w:rsidP="00E31763">
      <w:pPr>
        <w:ind w:left="142"/>
        <w:jc w:val="both"/>
        <w:rPr>
          <w:rFonts w:ascii="Arial Unicode MS" w:hAnsi="Arial Unicode MS"/>
          <w:color w:val="17365D"/>
          <w:szCs w:val="20"/>
        </w:rPr>
      </w:pPr>
      <w:r w:rsidRPr="00F939EC">
        <w:rPr>
          <w:rFonts w:ascii="Calibri" w:hAnsi="Calibri" w:hint="eastAsia"/>
          <w:color w:val="404040"/>
          <w:sz w:val="18"/>
          <w:szCs w:val="20"/>
        </w:rPr>
        <w:t>﹝</w:t>
      </w:r>
      <w:r w:rsidRPr="00F939EC">
        <w:rPr>
          <w:rFonts w:ascii="Calibri" w:hAnsi="Calibri" w:hint="eastAsia"/>
          <w:color w:val="404040"/>
          <w:sz w:val="18"/>
          <w:szCs w:val="20"/>
        </w:rPr>
        <w:t>2</w:t>
      </w:r>
      <w:r w:rsidRPr="00F939EC">
        <w:rPr>
          <w:rFonts w:ascii="Calibri" w:hAnsi="Calibri" w:hint="eastAsia"/>
          <w:color w:val="404040"/>
          <w:sz w:val="18"/>
          <w:szCs w:val="20"/>
        </w:rPr>
        <w:t>﹞</w:t>
      </w:r>
      <w:r w:rsidR="00E31763" w:rsidRPr="008F4137">
        <w:rPr>
          <w:rFonts w:ascii="Arial Unicode MS" w:hAnsi="Arial Unicode MS" w:hint="eastAsia"/>
          <w:color w:val="17365D"/>
          <w:szCs w:val="20"/>
        </w:rPr>
        <w:t>前項專人或專責組織之任務如下：</w:t>
      </w:r>
    </w:p>
    <w:p w14:paraId="005ACDAE" w14:textId="77777777" w:rsidR="00DA186A" w:rsidRDefault="00E31763" w:rsidP="00E31763">
      <w:pPr>
        <w:ind w:left="142"/>
        <w:jc w:val="both"/>
        <w:rPr>
          <w:rFonts w:ascii="Arial Unicode MS" w:hAnsi="Arial Unicode MS" w:hint="eastAsia"/>
          <w:color w:val="17365D"/>
          <w:szCs w:val="20"/>
        </w:rPr>
      </w:pPr>
      <w:r w:rsidRPr="008F4137">
        <w:rPr>
          <w:rFonts w:ascii="Arial Unicode MS" w:hAnsi="Arial Unicode MS" w:hint="eastAsia"/>
          <w:color w:val="17365D"/>
          <w:szCs w:val="20"/>
        </w:rPr>
        <w:t xml:space="preserve">　　一、規劃、訂定、修正與執行本計畫及業務終止後個人資料處理方法等相關事項</w:t>
      </w:r>
      <w:r w:rsidR="00DA186A">
        <w:rPr>
          <w:rFonts w:ascii="Arial Unicode MS" w:hAnsi="Arial Unicode MS" w:hint="eastAsia"/>
          <w:color w:val="17365D"/>
          <w:szCs w:val="20"/>
        </w:rPr>
        <w:t>。</w:t>
      </w:r>
    </w:p>
    <w:p w14:paraId="2B4C0581" w14:textId="538D2512" w:rsidR="00DA186A" w:rsidRDefault="00DA186A" w:rsidP="00E31763">
      <w:pPr>
        <w:ind w:left="142"/>
        <w:jc w:val="both"/>
        <w:rPr>
          <w:rFonts w:ascii="Arial Unicode MS" w:hAnsi="Arial Unicode MS" w:hint="eastAsia"/>
          <w:color w:val="17365D"/>
          <w:szCs w:val="20"/>
        </w:rPr>
      </w:pPr>
      <w:r>
        <w:rPr>
          <w:rFonts w:ascii="Arial Unicode MS" w:hAnsi="Arial Unicode MS" w:hint="eastAsia"/>
          <w:color w:val="17365D"/>
          <w:szCs w:val="20"/>
        </w:rPr>
        <w:t xml:space="preserve">　　</w:t>
      </w:r>
      <w:r w:rsidRPr="008F4137">
        <w:rPr>
          <w:rFonts w:ascii="Arial Unicode MS" w:hAnsi="Arial Unicode MS" w:hint="eastAsia"/>
          <w:color w:val="17365D"/>
          <w:szCs w:val="20"/>
        </w:rPr>
        <w:t>二</w:t>
      </w:r>
      <w:r>
        <w:rPr>
          <w:rFonts w:ascii="Arial Unicode MS" w:hAnsi="Arial Unicode MS" w:hint="eastAsia"/>
          <w:color w:val="17365D"/>
          <w:szCs w:val="20"/>
        </w:rPr>
        <w:t>、</w:t>
      </w:r>
      <w:r w:rsidR="00E31763" w:rsidRPr="008F4137">
        <w:rPr>
          <w:rFonts w:ascii="Arial Unicode MS" w:hAnsi="Arial Unicode MS" w:hint="eastAsia"/>
          <w:color w:val="17365D"/>
          <w:szCs w:val="20"/>
        </w:rPr>
        <w:t>訂定個人資料保護管理政策，將其所蒐集、處理及利用個人資料之依據、特定目的及其他相關保護事項，公告使其所屬人員均明確瞭解</w:t>
      </w:r>
      <w:r>
        <w:rPr>
          <w:rFonts w:ascii="Arial Unicode MS" w:hAnsi="Arial Unicode MS" w:hint="eastAsia"/>
          <w:color w:val="17365D"/>
          <w:szCs w:val="20"/>
        </w:rPr>
        <w:t>。</w:t>
      </w:r>
    </w:p>
    <w:p w14:paraId="21895A3F" w14:textId="27EEE8DB" w:rsidR="00E31763" w:rsidRPr="008F4137" w:rsidRDefault="00DA186A" w:rsidP="00E31763">
      <w:pPr>
        <w:ind w:left="142"/>
        <w:jc w:val="both"/>
        <w:rPr>
          <w:rFonts w:ascii="Arial Unicode MS" w:hAnsi="Arial Unicode MS"/>
          <w:color w:val="17365D"/>
          <w:szCs w:val="20"/>
        </w:rPr>
      </w:pPr>
      <w:r>
        <w:rPr>
          <w:rFonts w:ascii="Arial Unicode MS" w:hAnsi="Arial Unicode MS" w:hint="eastAsia"/>
          <w:color w:val="17365D"/>
          <w:szCs w:val="20"/>
        </w:rPr>
        <w:t xml:space="preserve">　　</w:t>
      </w:r>
      <w:r w:rsidRPr="008F4137">
        <w:rPr>
          <w:rFonts w:ascii="Arial Unicode MS" w:hAnsi="Arial Unicode MS" w:hint="eastAsia"/>
          <w:color w:val="17365D"/>
          <w:szCs w:val="20"/>
        </w:rPr>
        <w:t>三</w:t>
      </w:r>
      <w:r>
        <w:rPr>
          <w:rFonts w:ascii="Arial Unicode MS" w:hAnsi="Arial Unicode MS" w:hint="eastAsia"/>
          <w:color w:val="17365D"/>
          <w:szCs w:val="20"/>
        </w:rPr>
        <w:t>、</w:t>
      </w:r>
      <w:r w:rsidR="00E31763" w:rsidRPr="008F4137">
        <w:rPr>
          <w:rFonts w:ascii="Arial Unicode MS" w:hAnsi="Arial Unicode MS" w:hint="eastAsia"/>
          <w:color w:val="17365D"/>
          <w:szCs w:val="20"/>
        </w:rPr>
        <w:t>定期對所屬人員施以基礎認知宣導或專業教育訓練，使其明瞭個人資料保護相關法令之規定、所屬人員之責任範圍及各種個人資料保護事項之方法或管理措施。</w:t>
      </w:r>
    </w:p>
    <w:p w14:paraId="70283740"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4</w:t>
      </w:r>
      <w:r w:rsidR="00DA186A">
        <w:rPr>
          <w:rFonts w:hint="eastAsia"/>
          <w:color w:val="548DD4"/>
        </w:rPr>
        <w:t>條</w:t>
      </w:r>
    </w:p>
    <w:p w14:paraId="1FE3E725" w14:textId="2BD25AAC"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業者應清查所保有之個人資料，界定其納入本計畫之範圍並建立檔案，且定期確認其有否變動。</w:t>
      </w:r>
    </w:p>
    <w:p w14:paraId="346145C0"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5</w:t>
      </w:r>
      <w:r w:rsidR="00DA186A">
        <w:rPr>
          <w:rFonts w:hint="eastAsia"/>
          <w:color w:val="548DD4"/>
        </w:rPr>
        <w:t>條</w:t>
      </w:r>
    </w:p>
    <w:p w14:paraId="4F0EF989" w14:textId="1FC41557"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業者應依據前條所界定之個人資料範圍及其相關業務流程，分析可能產生之風險，並依據風險分析之結果，訂定適當之管控措施。</w:t>
      </w:r>
    </w:p>
    <w:p w14:paraId="12F14116" w14:textId="5D1B9740" w:rsidR="00DA186A" w:rsidRPr="00DA186A" w:rsidRDefault="00E31763" w:rsidP="008F4137">
      <w:pPr>
        <w:pStyle w:val="2"/>
        <w:rPr>
          <w:rFonts w:hint="eastAsia"/>
          <w:b w:val="0"/>
          <w:color w:val="548DD4"/>
        </w:rPr>
      </w:pPr>
      <w:bookmarkStart w:id="2" w:name="a6"/>
      <w:bookmarkEnd w:id="2"/>
      <w:r w:rsidRPr="00FD0788">
        <w:rPr>
          <w:rFonts w:hint="eastAsia"/>
          <w:color w:val="548DD4"/>
        </w:rPr>
        <w:t>第</w:t>
      </w:r>
      <w:r w:rsidRPr="00FD0788">
        <w:rPr>
          <w:rFonts w:hint="eastAsia"/>
          <w:color w:val="548DD4"/>
        </w:rPr>
        <w:t>6</w:t>
      </w:r>
      <w:r w:rsidR="00DA186A">
        <w:rPr>
          <w:rFonts w:hint="eastAsia"/>
          <w:color w:val="548DD4"/>
        </w:rPr>
        <w:t>條</w:t>
      </w:r>
      <w:r w:rsidR="00DA186A" w:rsidRPr="00F939EC">
        <w:rPr>
          <w:rFonts w:ascii="新細明體" w:hAnsi="新細明體" w:hint="eastAsia"/>
          <w:b w:val="0"/>
          <w:bCs w:val="0"/>
          <w:color w:val="FFFFFF"/>
        </w:rPr>
        <w:t>∵</w:t>
      </w:r>
    </w:p>
    <w:p w14:paraId="5468D783" w14:textId="4A3FDFD8" w:rsidR="006620DA" w:rsidRPr="00051D3E" w:rsidRDefault="00116452" w:rsidP="006620DA">
      <w:pPr>
        <w:ind w:left="142"/>
        <w:jc w:val="both"/>
        <w:rPr>
          <w:rFonts w:ascii="Arial Unicode MS" w:hAnsi="Arial Unicode MS"/>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6620DA" w:rsidRPr="00051D3E">
        <w:rPr>
          <w:rFonts w:ascii="Arial Unicode MS" w:hAnsi="Arial Unicode MS" w:hint="eastAsia"/>
        </w:rPr>
        <w:t>業者為因應所保有之個人資料被竊取、竄改、毀損、滅失或洩漏等事故，應採取下列事項：</w:t>
      </w:r>
    </w:p>
    <w:p w14:paraId="4F6AF65C" w14:textId="77777777" w:rsidR="00DA186A" w:rsidRDefault="006620DA" w:rsidP="006620DA">
      <w:pPr>
        <w:ind w:left="142"/>
        <w:jc w:val="both"/>
        <w:rPr>
          <w:rFonts w:ascii="Arial Unicode MS" w:hAnsi="Arial Unicode MS" w:hint="eastAsia"/>
        </w:rPr>
      </w:pPr>
      <w:r w:rsidRPr="00051D3E">
        <w:rPr>
          <w:rFonts w:ascii="Arial Unicode MS" w:hAnsi="Arial Unicode MS" w:hint="eastAsia"/>
        </w:rPr>
        <w:t xml:space="preserve">　　一、適當之應變措施，以控制事故對當事人之損害，並通報交通部民用航空局</w:t>
      </w:r>
      <w:r w:rsidR="00DA186A">
        <w:rPr>
          <w:rFonts w:ascii="Arial Unicode MS" w:hAnsi="Arial Unicode MS" w:hint="eastAsia"/>
        </w:rPr>
        <w:t>。</w:t>
      </w:r>
    </w:p>
    <w:p w14:paraId="00AAAA38" w14:textId="092C35E2" w:rsidR="00DA186A" w:rsidRDefault="00DA186A" w:rsidP="006620DA">
      <w:pPr>
        <w:ind w:left="142"/>
        <w:jc w:val="both"/>
        <w:rPr>
          <w:rFonts w:ascii="Arial Unicode MS" w:hAnsi="Arial Unicode MS" w:hint="eastAsia"/>
        </w:rPr>
      </w:pPr>
      <w:r>
        <w:rPr>
          <w:rFonts w:ascii="Arial Unicode MS" w:hAnsi="Arial Unicode MS" w:hint="eastAsia"/>
        </w:rPr>
        <w:t xml:space="preserve">　　</w:t>
      </w:r>
      <w:r w:rsidRPr="00051D3E">
        <w:rPr>
          <w:rFonts w:ascii="Arial Unicode MS" w:hAnsi="Arial Unicode MS" w:hint="eastAsia"/>
        </w:rPr>
        <w:t>二</w:t>
      </w:r>
      <w:r>
        <w:rPr>
          <w:rFonts w:ascii="Arial Unicode MS" w:hAnsi="Arial Unicode MS" w:hint="eastAsia"/>
        </w:rPr>
        <w:t>、</w:t>
      </w:r>
      <w:r w:rsidR="006620DA" w:rsidRPr="00051D3E">
        <w:rPr>
          <w:rFonts w:ascii="Arial Unicode MS" w:hAnsi="Arial Unicode MS" w:hint="eastAsia"/>
        </w:rPr>
        <w:t>查明事故之狀況並以適當方式通知當事人；其通知內容包含個人資料發生事故之事實、業者所採取之</w:t>
      </w:r>
      <w:r w:rsidR="006620DA" w:rsidRPr="00051D3E">
        <w:rPr>
          <w:rFonts w:ascii="Arial Unicode MS" w:hAnsi="Arial Unicode MS" w:hint="eastAsia"/>
        </w:rPr>
        <w:lastRenderedPageBreak/>
        <w:t>因應措施及所提供之諮詢服務專線</w:t>
      </w:r>
      <w:r>
        <w:rPr>
          <w:rFonts w:ascii="Arial Unicode MS" w:hAnsi="Arial Unicode MS" w:hint="eastAsia"/>
        </w:rPr>
        <w:t>。</w:t>
      </w:r>
    </w:p>
    <w:p w14:paraId="3CB4CEE8" w14:textId="23D1E0CD" w:rsidR="006620DA" w:rsidRPr="00051D3E" w:rsidRDefault="00DA186A" w:rsidP="006620DA">
      <w:pPr>
        <w:ind w:left="142"/>
        <w:jc w:val="both"/>
        <w:rPr>
          <w:rFonts w:ascii="Arial Unicode MS" w:hAnsi="Arial Unicode MS"/>
        </w:rPr>
      </w:pPr>
      <w:r>
        <w:rPr>
          <w:rFonts w:ascii="Arial Unicode MS" w:hAnsi="Arial Unicode MS" w:hint="eastAsia"/>
        </w:rPr>
        <w:t xml:space="preserve">　　</w:t>
      </w:r>
      <w:r w:rsidRPr="00051D3E">
        <w:rPr>
          <w:rFonts w:ascii="Arial Unicode MS" w:hAnsi="Arial Unicode MS" w:hint="eastAsia"/>
        </w:rPr>
        <w:t>三</w:t>
      </w:r>
      <w:r>
        <w:rPr>
          <w:rFonts w:ascii="Arial Unicode MS" w:hAnsi="Arial Unicode MS" w:hint="eastAsia"/>
        </w:rPr>
        <w:t>、</w:t>
      </w:r>
      <w:r w:rsidR="006620DA" w:rsidRPr="00051D3E">
        <w:rPr>
          <w:rFonts w:ascii="Arial Unicode MS" w:hAnsi="Arial Unicode MS" w:hint="eastAsia"/>
        </w:rPr>
        <w:t>研訂預防機制，避免類似事故再次發生。</w:t>
      </w:r>
    </w:p>
    <w:p w14:paraId="15DE912D" w14:textId="00FD28C0" w:rsidR="00DA186A" w:rsidRDefault="00DA186A" w:rsidP="00C42A52">
      <w:pPr>
        <w:pStyle w:val="3"/>
        <w:rPr>
          <w:rFonts w:hint="eastAsia"/>
        </w:rPr>
      </w:pPr>
      <w:r>
        <w:rPr>
          <w:rFonts w:hint="eastAsia"/>
        </w:rPr>
        <w:t>--</w:t>
      </w:r>
      <w:r w:rsidRPr="009C1B7D">
        <w:rPr>
          <w:rFonts w:hint="eastAsia"/>
        </w:rPr>
        <w:t>104</w:t>
      </w:r>
      <w:r w:rsidRPr="009C1B7D">
        <w:rPr>
          <w:rFonts w:hint="eastAsia"/>
        </w:rPr>
        <w:t>年</w:t>
      </w:r>
      <w:r>
        <w:rPr>
          <w:rFonts w:hint="eastAsia"/>
        </w:rPr>
        <w:t>12</w:t>
      </w:r>
      <w:r w:rsidRPr="009C1B7D">
        <w:rPr>
          <w:rFonts w:hint="eastAsia"/>
        </w:rPr>
        <w:t>月</w:t>
      </w:r>
      <w:r>
        <w:rPr>
          <w:rFonts w:hint="eastAsia"/>
        </w:rPr>
        <w:t>2</w:t>
      </w:r>
      <w:r>
        <w:rPr>
          <w:rFonts w:hint="eastAsia"/>
        </w:rPr>
        <w:t>日修正前條文</w:t>
      </w:r>
      <w:r>
        <w:rPr>
          <w:rFonts w:hint="eastAsia"/>
        </w:rPr>
        <w:t>--</w:t>
      </w:r>
      <w:hyperlink r:id="rId19" w:history="1">
        <w:r w:rsidRPr="009C1B7D">
          <w:rPr>
            <w:rStyle w:val="a3"/>
          </w:rPr>
          <w:t>比對程式</w:t>
        </w:r>
      </w:hyperlink>
    </w:p>
    <w:p w14:paraId="6211DB22" w14:textId="4CFD89B5" w:rsidR="00E31763" w:rsidRPr="006620DA" w:rsidRDefault="00116452" w:rsidP="00E31763">
      <w:pPr>
        <w:ind w:left="142"/>
        <w:jc w:val="both"/>
        <w:rPr>
          <w:rFonts w:ascii="Arial Unicode MS" w:hAnsi="Arial Unicode MS"/>
          <w:color w:val="5F5F5F"/>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6620DA">
        <w:rPr>
          <w:rFonts w:ascii="Arial Unicode MS" w:hAnsi="Arial Unicode MS" w:hint="eastAsia"/>
          <w:color w:val="5F5F5F"/>
          <w:szCs w:val="20"/>
        </w:rPr>
        <w:t>業者為因應所保有之個人資料被竊取、竄改、毀損、滅失或洩漏等事故，應採取下列事項：</w:t>
      </w:r>
    </w:p>
    <w:p w14:paraId="64C9D6DF" w14:textId="77777777" w:rsidR="00DA186A" w:rsidRDefault="00E31763" w:rsidP="00E31763">
      <w:pPr>
        <w:ind w:left="142"/>
        <w:jc w:val="both"/>
        <w:rPr>
          <w:rFonts w:ascii="Arial Unicode MS" w:hAnsi="Arial Unicode MS" w:hint="eastAsia"/>
          <w:color w:val="5F5F5F"/>
          <w:szCs w:val="20"/>
        </w:rPr>
      </w:pPr>
      <w:r w:rsidRPr="006620DA">
        <w:rPr>
          <w:rFonts w:ascii="Arial Unicode MS" w:hAnsi="Arial Unicode MS" w:hint="eastAsia"/>
          <w:color w:val="5F5F5F"/>
          <w:szCs w:val="20"/>
        </w:rPr>
        <w:t xml:space="preserve">　　一、適當之應變措施，以控制事故對當事人之損害，並通報有關單位</w:t>
      </w:r>
      <w:r w:rsidR="00DA186A">
        <w:rPr>
          <w:rFonts w:ascii="Arial Unicode MS" w:hAnsi="Arial Unicode MS" w:hint="eastAsia"/>
          <w:color w:val="5F5F5F"/>
          <w:szCs w:val="20"/>
        </w:rPr>
        <w:t>。</w:t>
      </w:r>
    </w:p>
    <w:p w14:paraId="2CBA5C94" w14:textId="39AD2D33" w:rsidR="00DA186A" w:rsidRDefault="00DA186A" w:rsidP="00E31763">
      <w:pPr>
        <w:ind w:left="142"/>
        <w:jc w:val="both"/>
        <w:rPr>
          <w:rFonts w:ascii="Arial Unicode MS" w:hAnsi="Arial Unicode MS" w:hint="eastAsia"/>
          <w:color w:val="5F5F5F"/>
          <w:szCs w:val="20"/>
        </w:rPr>
      </w:pPr>
      <w:r>
        <w:rPr>
          <w:rFonts w:ascii="Arial Unicode MS" w:hAnsi="Arial Unicode MS" w:hint="eastAsia"/>
          <w:color w:val="5F5F5F"/>
          <w:szCs w:val="20"/>
        </w:rPr>
        <w:t xml:space="preserve">　　</w:t>
      </w:r>
      <w:r w:rsidRPr="006620DA">
        <w:rPr>
          <w:rFonts w:ascii="Arial Unicode MS" w:hAnsi="Arial Unicode MS" w:hint="eastAsia"/>
          <w:color w:val="5F5F5F"/>
          <w:szCs w:val="20"/>
        </w:rPr>
        <w:t>二</w:t>
      </w:r>
      <w:r>
        <w:rPr>
          <w:rFonts w:ascii="Arial Unicode MS" w:hAnsi="Arial Unicode MS" w:hint="eastAsia"/>
          <w:color w:val="5F5F5F"/>
          <w:szCs w:val="20"/>
        </w:rPr>
        <w:t>、</w:t>
      </w:r>
      <w:r w:rsidR="00E31763" w:rsidRPr="006620DA">
        <w:rPr>
          <w:rFonts w:ascii="Arial Unicode MS" w:hAnsi="Arial Unicode MS" w:hint="eastAsia"/>
          <w:color w:val="5F5F5F"/>
          <w:szCs w:val="20"/>
        </w:rPr>
        <w:t>查明事故之狀況並以適當方式通知當事人</w:t>
      </w:r>
      <w:r>
        <w:rPr>
          <w:rFonts w:ascii="Arial Unicode MS" w:hAnsi="Arial Unicode MS" w:hint="eastAsia"/>
          <w:color w:val="5F5F5F"/>
          <w:szCs w:val="20"/>
        </w:rPr>
        <w:t>。</w:t>
      </w:r>
    </w:p>
    <w:p w14:paraId="30B28405" w14:textId="06866618" w:rsidR="00E31763" w:rsidRPr="00DA186A" w:rsidRDefault="00DA186A" w:rsidP="00E31763">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6620DA">
        <w:rPr>
          <w:rFonts w:ascii="Arial Unicode MS" w:hAnsi="Arial Unicode MS" w:hint="eastAsia"/>
          <w:color w:val="5F5F5F"/>
          <w:szCs w:val="20"/>
        </w:rPr>
        <w:t>三</w:t>
      </w:r>
      <w:r>
        <w:rPr>
          <w:rFonts w:ascii="Arial Unicode MS" w:hAnsi="Arial Unicode MS" w:hint="eastAsia"/>
          <w:color w:val="5F5F5F"/>
          <w:szCs w:val="20"/>
        </w:rPr>
        <w:t>、</w:t>
      </w:r>
      <w:r w:rsidR="00E31763" w:rsidRPr="006620DA">
        <w:rPr>
          <w:rFonts w:ascii="Arial Unicode MS" w:hAnsi="Arial Unicode MS" w:hint="eastAsia"/>
          <w:color w:val="5F5F5F"/>
          <w:szCs w:val="20"/>
        </w:rPr>
        <w:t>研議預防機制，避免類似事故再次發生。</w:t>
      </w:r>
      <w:r w:rsidRPr="00F939EC">
        <w:rPr>
          <w:rFonts w:ascii="新細明體" w:hAnsi="新細明體" w:hint="eastAsia"/>
          <w:color w:val="FFFFFF"/>
          <w:szCs w:val="20"/>
        </w:rPr>
        <w:t>∴</w:t>
      </w:r>
    </w:p>
    <w:p w14:paraId="7CC24F55"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7</w:t>
      </w:r>
      <w:r w:rsidR="00DA186A">
        <w:rPr>
          <w:rFonts w:hint="eastAsia"/>
          <w:color w:val="548DD4"/>
        </w:rPr>
        <w:t>條</w:t>
      </w:r>
    </w:p>
    <w:p w14:paraId="73E6802E" w14:textId="1923AF54"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業者應依個人資料之屬性，分別訂定下列管理程序：</w:t>
      </w:r>
    </w:p>
    <w:p w14:paraId="029E362D"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一、檢視及確認所蒐集、處理及利用之個人資料是否包含本</w:t>
      </w:r>
      <w:r w:rsidR="00917D7C" w:rsidRPr="008F26CD">
        <w:rPr>
          <w:rFonts w:ascii="Arial Unicode MS" w:hAnsi="Arial Unicode MS" w:hint="eastAsia"/>
          <w:szCs w:val="20"/>
        </w:rPr>
        <w:t>法</w:t>
      </w:r>
      <w:hyperlink r:id="rId20" w:anchor="a6" w:history="1">
        <w:r w:rsidR="00917D7C" w:rsidRPr="00C650C0">
          <w:rPr>
            <w:rStyle w:val="a3"/>
            <w:rFonts w:ascii="Arial Unicode MS" w:hAnsi="Arial Unicode MS" w:hint="eastAsia"/>
            <w:szCs w:val="20"/>
          </w:rPr>
          <w:t>第六條</w:t>
        </w:r>
      </w:hyperlink>
      <w:r w:rsidRPr="008F26CD">
        <w:rPr>
          <w:rFonts w:ascii="Arial Unicode MS" w:hAnsi="Arial Unicode MS" w:hint="eastAsia"/>
          <w:szCs w:val="20"/>
        </w:rPr>
        <w:t>所定個人資料及其特定目的</w:t>
      </w:r>
      <w:r w:rsidR="00DA186A">
        <w:rPr>
          <w:rFonts w:ascii="Arial Unicode MS" w:hAnsi="Arial Unicode MS" w:hint="eastAsia"/>
          <w:szCs w:val="20"/>
        </w:rPr>
        <w:t>。</w:t>
      </w:r>
    </w:p>
    <w:p w14:paraId="163B5E89" w14:textId="26860DC3"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確保蒐集、處理及利用本</w:t>
      </w:r>
      <w:r w:rsidR="00C650C0" w:rsidRPr="008F26CD">
        <w:rPr>
          <w:rFonts w:ascii="Arial Unicode MS" w:hAnsi="Arial Unicode MS" w:hint="eastAsia"/>
          <w:szCs w:val="20"/>
        </w:rPr>
        <w:t>法</w:t>
      </w:r>
      <w:hyperlink r:id="rId21" w:anchor="a6" w:history="1">
        <w:r w:rsidR="00C650C0" w:rsidRPr="00C650C0">
          <w:rPr>
            <w:rStyle w:val="a3"/>
            <w:rFonts w:ascii="Arial Unicode MS" w:hAnsi="Arial Unicode MS" w:hint="eastAsia"/>
            <w:szCs w:val="20"/>
          </w:rPr>
          <w:t>第六條</w:t>
        </w:r>
      </w:hyperlink>
      <w:r w:rsidR="00E31763" w:rsidRPr="008F26CD">
        <w:rPr>
          <w:rFonts w:ascii="Arial Unicode MS" w:hAnsi="Arial Unicode MS" w:hint="eastAsia"/>
          <w:szCs w:val="20"/>
        </w:rPr>
        <w:t>所定個人資料，是否符合相關法令之要件</w:t>
      </w:r>
      <w:r>
        <w:rPr>
          <w:rFonts w:ascii="Arial Unicode MS" w:hAnsi="Arial Unicode MS" w:hint="eastAsia"/>
          <w:szCs w:val="20"/>
        </w:rPr>
        <w:t>。</w:t>
      </w:r>
    </w:p>
    <w:p w14:paraId="43CE3A6F" w14:textId="2845378D"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三</w:t>
      </w:r>
      <w:r>
        <w:rPr>
          <w:rFonts w:ascii="Arial Unicode MS" w:hAnsi="Arial Unicode MS" w:hint="eastAsia"/>
          <w:szCs w:val="20"/>
        </w:rPr>
        <w:t>、</w:t>
      </w:r>
      <w:r w:rsidR="00E31763" w:rsidRPr="008F26CD">
        <w:rPr>
          <w:rFonts w:ascii="Arial Unicode MS" w:hAnsi="Arial Unicode MS" w:hint="eastAsia"/>
          <w:szCs w:val="20"/>
        </w:rPr>
        <w:t>雖非本法</w:t>
      </w:r>
      <w:hyperlink r:id="rId22" w:anchor="a6" w:history="1">
        <w:r w:rsidR="00E31763" w:rsidRPr="00C650C0">
          <w:rPr>
            <w:rStyle w:val="a3"/>
            <w:rFonts w:ascii="Arial Unicode MS" w:hAnsi="Arial Unicode MS" w:hint="eastAsia"/>
            <w:szCs w:val="20"/>
          </w:rPr>
          <w:t>第六條</w:t>
        </w:r>
      </w:hyperlink>
      <w:r w:rsidR="00E31763" w:rsidRPr="008F26CD">
        <w:rPr>
          <w:rFonts w:ascii="Arial Unicode MS" w:hAnsi="Arial Unicode MS" w:hint="eastAsia"/>
          <w:szCs w:val="20"/>
        </w:rPr>
        <w:t>所定個人資料，惟如認為具有特別管理之需要，仍得比照或訂定特別管理程序。</w:t>
      </w:r>
    </w:p>
    <w:p w14:paraId="3137D25A"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8</w:t>
      </w:r>
      <w:r w:rsidR="00DA186A">
        <w:rPr>
          <w:rFonts w:hint="eastAsia"/>
          <w:color w:val="548DD4"/>
        </w:rPr>
        <w:t>條</w:t>
      </w:r>
    </w:p>
    <w:p w14:paraId="188FD733" w14:textId="1F46A02E"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業者為遵守本法</w:t>
      </w:r>
      <w:hyperlink r:id="rId23" w:anchor="a8" w:history="1">
        <w:r w:rsidR="00E31763" w:rsidRPr="00C650C0">
          <w:rPr>
            <w:rStyle w:val="a3"/>
            <w:rFonts w:ascii="Arial Unicode MS" w:hAnsi="Arial Unicode MS" w:hint="eastAsia"/>
            <w:szCs w:val="20"/>
          </w:rPr>
          <w:t>第八條</w:t>
        </w:r>
      </w:hyperlink>
      <w:r w:rsidR="00E31763" w:rsidRPr="008F26CD">
        <w:rPr>
          <w:rFonts w:ascii="Arial Unicode MS" w:hAnsi="Arial Unicode MS" w:hint="eastAsia"/>
          <w:szCs w:val="20"/>
        </w:rPr>
        <w:t>及</w:t>
      </w:r>
      <w:hyperlink r:id="rId24" w:anchor="a9" w:history="1">
        <w:r w:rsidR="00E31763" w:rsidRPr="00C650C0">
          <w:rPr>
            <w:rStyle w:val="a3"/>
            <w:rFonts w:ascii="Arial Unicode MS" w:hAnsi="Arial Unicode MS" w:hint="eastAsia"/>
            <w:szCs w:val="20"/>
          </w:rPr>
          <w:t>第九條</w:t>
        </w:r>
      </w:hyperlink>
      <w:r w:rsidR="00E31763" w:rsidRPr="008F26CD">
        <w:rPr>
          <w:rFonts w:ascii="Arial Unicode MS" w:hAnsi="Arial Unicode MS" w:hint="eastAsia"/>
          <w:szCs w:val="20"/>
        </w:rPr>
        <w:t>關於告知義務之規定，應採取下列方式：</w:t>
      </w:r>
    </w:p>
    <w:p w14:paraId="3F6CE5A1"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一、檢視蒐集、處理個人資料之特定目的，是否符合免告知當事人之事由</w:t>
      </w:r>
      <w:r w:rsidR="00DA186A">
        <w:rPr>
          <w:rFonts w:ascii="Arial Unicode MS" w:hAnsi="Arial Unicode MS" w:hint="eastAsia"/>
          <w:szCs w:val="20"/>
        </w:rPr>
        <w:t>。</w:t>
      </w:r>
    </w:p>
    <w:p w14:paraId="5D3C7BBA" w14:textId="621A9636"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依據資料蒐集之情況，採取適當之告知方式。</w:t>
      </w:r>
    </w:p>
    <w:p w14:paraId="4B9BE508"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9</w:t>
      </w:r>
      <w:r w:rsidR="00DA186A">
        <w:rPr>
          <w:rFonts w:hint="eastAsia"/>
          <w:color w:val="548DD4"/>
        </w:rPr>
        <w:t>條</w:t>
      </w:r>
    </w:p>
    <w:p w14:paraId="4EE7512F" w14:textId="7B81E1F1" w:rsidR="00DA186A" w:rsidRDefault="00116452" w:rsidP="00E31763">
      <w:pPr>
        <w:ind w:left="142"/>
        <w:jc w:val="both"/>
        <w:rPr>
          <w:rFonts w:ascii="Arial Unicode MS" w:hAnsi="Arial Unicode MS" w:hint="eastAsia"/>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業者應檢視蒐集、處理個人資料是否符合本法</w:t>
      </w:r>
      <w:r w:rsidR="00072E2E" w:rsidRPr="00800D50">
        <w:rPr>
          <w:rFonts w:ascii="Arial Unicode MS" w:hAnsi="Arial Unicode MS" w:hint="eastAsia"/>
        </w:rPr>
        <w:t>第</w:t>
      </w:r>
      <w:hyperlink r:id="rId25" w:anchor="a19" w:history="1">
        <w:r w:rsidR="00072E2E" w:rsidRPr="002E17A8">
          <w:rPr>
            <w:rStyle w:val="a3"/>
            <w:rFonts w:ascii="Arial Unicode MS" w:hAnsi="Arial Unicode MS" w:hint="eastAsia"/>
          </w:rPr>
          <w:t>十九</w:t>
        </w:r>
      </w:hyperlink>
      <w:r w:rsidR="00072E2E" w:rsidRPr="00800D50">
        <w:rPr>
          <w:rFonts w:ascii="Arial Unicode MS" w:hAnsi="Arial Unicode MS" w:hint="eastAsia"/>
        </w:rPr>
        <w:t>條</w:t>
      </w:r>
      <w:r w:rsidR="00E31763" w:rsidRPr="008F26CD">
        <w:rPr>
          <w:rFonts w:ascii="Arial Unicode MS" w:hAnsi="Arial Unicode MS" w:hint="eastAsia"/>
          <w:szCs w:val="20"/>
        </w:rPr>
        <w:t>規定，具有特定目的及法定要件</w:t>
      </w:r>
      <w:r w:rsidR="00DA186A">
        <w:rPr>
          <w:rFonts w:ascii="Arial Unicode MS" w:hAnsi="Arial Unicode MS" w:hint="eastAsia"/>
          <w:szCs w:val="20"/>
        </w:rPr>
        <w:t>。</w:t>
      </w:r>
    </w:p>
    <w:p w14:paraId="168C4554" w14:textId="7E7E6E9B" w:rsidR="00E31763" w:rsidRPr="008F4137" w:rsidRDefault="00116452" w:rsidP="00E31763">
      <w:pPr>
        <w:ind w:left="142"/>
        <w:jc w:val="both"/>
        <w:rPr>
          <w:rFonts w:ascii="Arial Unicode MS" w:hAnsi="Arial Unicode MS"/>
          <w:color w:val="17365D"/>
          <w:szCs w:val="20"/>
        </w:rPr>
      </w:pPr>
      <w:r w:rsidRPr="00F939EC">
        <w:rPr>
          <w:rFonts w:ascii="Calibri" w:hAnsi="Calibri" w:hint="eastAsia"/>
          <w:color w:val="404040"/>
          <w:sz w:val="18"/>
          <w:szCs w:val="20"/>
        </w:rPr>
        <w:t>﹝</w:t>
      </w:r>
      <w:r w:rsidRPr="00F939EC">
        <w:rPr>
          <w:rFonts w:ascii="Calibri" w:hAnsi="Calibri" w:hint="eastAsia"/>
          <w:color w:val="404040"/>
          <w:sz w:val="18"/>
          <w:szCs w:val="20"/>
        </w:rPr>
        <w:t>2</w:t>
      </w:r>
      <w:r w:rsidRPr="00F939EC">
        <w:rPr>
          <w:rFonts w:ascii="Calibri" w:hAnsi="Calibri" w:hint="eastAsia"/>
          <w:color w:val="404040"/>
          <w:sz w:val="18"/>
          <w:szCs w:val="20"/>
        </w:rPr>
        <w:t>﹞</w:t>
      </w:r>
      <w:r w:rsidR="00E31763" w:rsidRPr="008F4137">
        <w:rPr>
          <w:rFonts w:ascii="Arial Unicode MS" w:hAnsi="Arial Unicode MS" w:hint="eastAsia"/>
          <w:color w:val="17365D"/>
          <w:szCs w:val="20"/>
        </w:rPr>
        <w:t>檢視利用個人資料是否符合本法</w:t>
      </w:r>
      <w:r w:rsidR="00072E2E" w:rsidRPr="00800D50">
        <w:rPr>
          <w:rFonts w:ascii="Arial Unicode MS" w:hAnsi="Arial Unicode MS" w:hint="eastAsia"/>
        </w:rPr>
        <w:t>第</w:t>
      </w:r>
      <w:hyperlink r:id="rId26" w:anchor="a20" w:history="1">
        <w:r w:rsidR="00072E2E" w:rsidRPr="002E17A8">
          <w:rPr>
            <w:rStyle w:val="a3"/>
            <w:rFonts w:ascii="Arial Unicode MS" w:hAnsi="Arial Unicode MS" w:hint="eastAsia"/>
          </w:rPr>
          <w:t>二十</w:t>
        </w:r>
      </w:hyperlink>
      <w:r w:rsidR="00072E2E" w:rsidRPr="00800D50">
        <w:rPr>
          <w:rFonts w:ascii="Arial Unicode MS" w:hAnsi="Arial Unicode MS" w:hint="eastAsia"/>
        </w:rPr>
        <w:t>條</w:t>
      </w:r>
      <w:r w:rsidR="00E31763" w:rsidRPr="008F4137">
        <w:rPr>
          <w:rFonts w:ascii="Arial Unicode MS" w:hAnsi="Arial Unicode MS" w:hint="eastAsia"/>
          <w:color w:val="17365D"/>
          <w:szCs w:val="20"/>
        </w:rPr>
        <w:t>第一項規定，符合特定目的內利用；於特定目的外利用個人資料時，應檢視是否具備法定特定目的外利用要件。</w:t>
      </w:r>
    </w:p>
    <w:p w14:paraId="2F247BC1"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10</w:t>
      </w:r>
      <w:r w:rsidR="00DA186A">
        <w:rPr>
          <w:rFonts w:hint="eastAsia"/>
          <w:color w:val="548DD4"/>
        </w:rPr>
        <w:t>條</w:t>
      </w:r>
    </w:p>
    <w:p w14:paraId="73626766" w14:textId="11C36BEC" w:rsidR="00E31763" w:rsidRPr="008F26CD" w:rsidRDefault="00116452" w:rsidP="00116452">
      <w:pPr>
        <w:ind w:left="142"/>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hint="eastAsia"/>
        </w:rPr>
        <w:t>業者委託他人蒐集、處理或利用個人資料之全部或一部時，應對受託者依本法施行細則</w:t>
      </w:r>
      <w:hyperlink r:id="rId27" w:anchor="a8" w:history="1">
        <w:r w:rsidR="00E31763" w:rsidRPr="00917D7C">
          <w:rPr>
            <w:rStyle w:val="a3"/>
            <w:rFonts w:ascii="Times New Roman" w:hAnsi="Times New Roman" w:hint="eastAsia"/>
          </w:rPr>
          <w:t>第八條</w:t>
        </w:r>
      </w:hyperlink>
      <w:r w:rsidR="00E31763" w:rsidRPr="008F26CD">
        <w:rPr>
          <w:rFonts w:hint="eastAsia"/>
        </w:rPr>
        <w:t>規定為適當之監督，並明確約定相關監督事項與方式。</w:t>
      </w:r>
    </w:p>
    <w:p w14:paraId="7BBA2C03"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11</w:t>
      </w:r>
      <w:r w:rsidR="00DA186A">
        <w:rPr>
          <w:rFonts w:hint="eastAsia"/>
          <w:color w:val="548DD4"/>
        </w:rPr>
        <w:t>條</w:t>
      </w:r>
    </w:p>
    <w:p w14:paraId="3C05D661" w14:textId="6D57F0AD"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業者於首次利用個人資料行銷時，應提供當事人免費表示拒絕行銷之方式，且倘當事人表示拒絕行銷後，應立即停止利用其個人資料行銷，並週知所屬人員。</w:t>
      </w:r>
    </w:p>
    <w:p w14:paraId="77587685"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12</w:t>
      </w:r>
      <w:r w:rsidR="00DA186A">
        <w:rPr>
          <w:rFonts w:hint="eastAsia"/>
          <w:color w:val="548DD4"/>
        </w:rPr>
        <w:t>條</w:t>
      </w:r>
    </w:p>
    <w:p w14:paraId="1ECEE7DD" w14:textId="382424F9"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業者進行個人資料國際傳輸前，應檢視有無交通部依本法第</w:t>
      </w:r>
      <w:hyperlink r:id="rId28" w:anchor="a21" w:history="1">
        <w:r w:rsidR="00E31763" w:rsidRPr="00C650C0">
          <w:rPr>
            <w:rStyle w:val="a3"/>
            <w:rFonts w:ascii="Arial Unicode MS" w:hAnsi="Arial Unicode MS" w:hint="eastAsia"/>
            <w:szCs w:val="20"/>
          </w:rPr>
          <w:t>二十一</w:t>
        </w:r>
      </w:hyperlink>
      <w:r w:rsidR="00E31763" w:rsidRPr="008F26CD">
        <w:rPr>
          <w:rFonts w:ascii="Arial Unicode MS" w:hAnsi="Arial Unicode MS" w:hint="eastAsia"/>
          <w:szCs w:val="20"/>
        </w:rPr>
        <w:t>條規定為限制國際傳輸之命令或處分，並應遵循之。</w:t>
      </w:r>
    </w:p>
    <w:p w14:paraId="3878A8F1"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13</w:t>
      </w:r>
      <w:r w:rsidR="00DA186A">
        <w:rPr>
          <w:rFonts w:hint="eastAsia"/>
          <w:color w:val="548DD4"/>
        </w:rPr>
        <w:t>條</w:t>
      </w:r>
    </w:p>
    <w:p w14:paraId="117A3A86" w14:textId="768C3BA3"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業者為提供資料當事人行使本法</w:t>
      </w:r>
      <w:hyperlink r:id="rId29" w:anchor="a3" w:history="1">
        <w:r w:rsidR="00E31763" w:rsidRPr="00C650C0">
          <w:rPr>
            <w:rStyle w:val="a3"/>
            <w:rFonts w:ascii="Arial Unicode MS" w:hAnsi="Arial Unicode MS" w:hint="eastAsia"/>
            <w:szCs w:val="20"/>
          </w:rPr>
          <w:t>第三條</w:t>
        </w:r>
      </w:hyperlink>
      <w:r w:rsidR="00E31763" w:rsidRPr="008F26CD">
        <w:rPr>
          <w:rFonts w:ascii="Arial Unicode MS" w:hAnsi="Arial Unicode MS" w:hint="eastAsia"/>
          <w:szCs w:val="20"/>
        </w:rPr>
        <w:t>所規定之權利，得採取下列方式為之：</w:t>
      </w:r>
    </w:p>
    <w:p w14:paraId="6A5CBF91"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一、確認是否為個人資料之本人，或經其委託授權</w:t>
      </w:r>
      <w:r w:rsidR="00DA186A">
        <w:rPr>
          <w:rFonts w:ascii="Arial Unicode MS" w:hAnsi="Arial Unicode MS" w:hint="eastAsia"/>
          <w:szCs w:val="20"/>
        </w:rPr>
        <w:t>。</w:t>
      </w:r>
    </w:p>
    <w:p w14:paraId="6A339F9E" w14:textId="5F6B99CA"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提供當事人行使權利之方式，並遵守本法第</w:t>
      </w:r>
      <w:hyperlink r:id="rId30" w:anchor="a13" w:history="1">
        <w:r w:rsidR="00E31763" w:rsidRPr="00C650C0">
          <w:rPr>
            <w:rStyle w:val="a3"/>
            <w:rFonts w:ascii="Arial Unicode MS" w:hAnsi="Arial Unicode MS" w:hint="eastAsia"/>
            <w:szCs w:val="20"/>
          </w:rPr>
          <w:t>十三</w:t>
        </w:r>
      </w:hyperlink>
      <w:r w:rsidR="00E31763" w:rsidRPr="008F26CD">
        <w:rPr>
          <w:rFonts w:ascii="Arial Unicode MS" w:hAnsi="Arial Unicode MS" w:hint="eastAsia"/>
          <w:szCs w:val="20"/>
        </w:rPr>
        <w:t>條有關處理期限之規定</w:t>
      </w:r>
      <w:r>
        <w:rPr>
          <w:rFonts w:ascii="Arial Unicode MS" w:hAnsi="Arial Unicode MS" w:hint="eastAsia"/>
          <w:szCs w:val="20"/>
        </w:rPr>
        <w:t>。</w:t>
      </w:r>
    </w:p>
    <w:p w14:paraId="078B979E" w14:textId="68070000"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三</w:t>
      </w:r>
      <w:r>
        <w:rPr>
          <w:rFonts w:ascii="Arial Unicode MS" w:hAnsi="Arial Unicode MS" w:hint="eastAsia"/>
          <w:szCs w:val="20"/>
        </w:rPr>
        <w:t>、</w:t>
      </w:r>
      <w:r w:rsidR="00E31763" w:rsidRPr="008F26CD">
        <w:rPr>
          <w:rFonts w:ascii="Arial Unicode MS" w:hAnsi="Arial Unicode MS" w:hint="eastAsia"/>
          <w:szCs w:val="20"/>
        </w:rPr>
        <w:t>告知是否酌收必要成本費用</w:t>
      </w:r>
      <w:r>
        <w:rPr>
          <w:rFonts w:ascii="Arial Unicode MS" w:hAnsi="Arial Unicode MS" w:hint="eastAsia"/>
          <w:szCs w:val="20"/>
        </w:rPr>
        <w:t>。</w:t>
      </w:r>
    </w:p>
    <w:p w14:paraId="5D4FCBDD" w14:textId="44E22B49"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四</w:t>
      </w:r>
      <w:r>
        <w:rPr>
          <w:rFonts w:ascii="Arial Unicode MS" w:hAnsi="Arial Unicode MS" w:hint="eastAsia"/>
          <w:szCs w:val="20"/>
        </w:rPr>
        <w:t>、</w:t>
      </w:r>
      <w:r w:rsidR="00E31763" w:rsidRPr="008F26CD">
        <w:rPr>
          <w:rFonts w:ascii="Arial Unicode MS" w:hAnsi="Arial Unicode MS" w:hint="eastAsia"/>
          <w:szCs w:val="20"/>
        </w:rPr>
        <w:t>如認有本法</w:t>
      </w:r>
      <w:hyperlink r:id="rId31" w:anchor="a10" w:history="1">
        <w:r w:rsidR="00E31763" w:rsidRPr="00C650C0">
          <w:rPr>
            <w:rStyle w:val="a3"/>
            <w:rFonts w:ascii="Arial Unicode MS" w:hAnsi="Arial Unicode MS" w:hint="eastAsia"/>
            <w:szCs w:val="20"/>
          </w:rPr>
          <w:t>第十條</w:t>
        </w:r>
      </w:hyperlink>
      <w:r w:rsidR="00E31763" w:rsidRPr="008F26CD">
        <w:rPr>
          <w:rFonts w:ascii="Arial Unicode MS" w:hAnsi="Arial Unicode MS" w:hint="eastAsia"/>
          <w:szCs w:val="20"/>
        </w:rPr>
        <w:t>及第</w:t>
      </w:r>
      <w:hyperlink r:id="rId32" w:anchor="a11" w:history="1">
        <w:r w:rsidR="00E31763" w:rsidRPr="00C650C0">
          <w:rPr>
            <w:rStyle w:val="a3"/>
            <w:rFonts w:ascii="Arial Unicode MS" w:hAnsi="Arial Unicode MS" w:hint="eastAsia"/>
            <w:szCs w:val="20"/>
          </w:rPr>
          <w:t>十一</w:t>
        </w:r>
      </w:hyperlink>
      <w:r w:rsidR="00E31763" w:rsidRPr="008F26CD">
        <w:rPr>
          <w:rFonts w:ascii="Arial Unicode MS" w:hAnsi="Arial Unicode MS" w:hint="eastAsia"/>
          <w:szCs w:val="20"/>
        </w:rPr>
        <w:t>條得拒絕當事人行使權利之事由，應附理由通知當事人。</w:t>
      </w:r>
    </w:p>
    <w:p w14:paraId="7A85B340" w14:textId="77777777" w:rsidR="00DA186A" w:rsidRDefault="00E31763" w:rsidP="008F4137">
      <w:pPr>
        <w:pStyle w:val="2"/>
        <w:rPr>
          <w:rFonts w:hint="eastAsia"/>
          <w:color w:val="548DD4"/>
        </w:rPr>
      </w:pPr>
      <w:r w:rsidRPr="00FD0788">
        <w:rPr>
          <w:rFonts w:hint="eastAsia"/>
          <w:color w:val="548DD4"/>
        </w:rPr>
        <w:lastRenderedPageBreak/>
        <w:t>第</w:t>
      </w:r>
      <w:r w:rsidRPr="00FD0788">
        <w:rPr>
          <w:rFonts w:hint="eastAsia"/>
          <w:color w:val="548DD4"/>
        </w:rPr>
        <w:t>14</w:t>
      </w:r>
      <w:r w:rsidR="00DA186A">
        <w:rPr>
          <w:rFonts w:hint="eastAsia"/>
          <w:color w:val="548DD4"/>
        </w:rPr>
        <w:t>條</w:t>
      </w:r>
    </w:p>
    <w:p w14:paraId="72F12C11" w14:textId="77026F69"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業者為維護其所保有個人資料之正確性，應採取下列方式為之：</w:t>
      </w:r>
    </w:p>
    <w:p w14:paraId="645C69EC"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一、檢視個人資料於蒐集、處理或利用過程，是否正確</w:t>
      </w:r>
      <w:r w:rsidR="00DA186A">
        <w:rPr>
          <w:rFonts w:ascii="Arial Unicode MS" w:hAnsi="Arial Unicode MS" w:hint="eastAsia"/>
          <w:szCs w:val="20"/>
        </w:rPr>
        <w:t>。</w:t>
      </w:r>
    </w:p>
    <w:p w14:paraId="712D8166" w14:textId="63BB9336"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當發現個人資料不正確時，適時更正或補充，並通知曾提供利用之對象</w:t>
      </w:r>
      <w:r>
        <w:rPr>
          <w:rFonts w:ascii="Arial Unicode MS" w:hAnsi="Arial Unicode MS" w:hint="eastAsia"/>
          <w:szCs w:val="20"/>
        </w:rPr>
        <w:t>。</w:t>
      </w:r>
    </w:p>
    <w:p w14:paraId="348647E4" w14:textId="764DA9E9"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三</w:t>
      </w:r>
      <w:r>
        <w:rPr>
          <w:rFonts w:ascii="Arial Unicode MS" w:hAnsi="Arial Unicode MS" w:hint="eastAsia"/>
          <w:szCs w:val="20"/>
        </w:rPr>
        <w:t>、</w:t>
      </w:r>
      <w:r w:rsidR="00E31763" w:rsidRPr="008F26CD">
        <w:rPr>
          <w:rFonts w:ascii="Arial Unicode MS" w:hAnsi="Arial Unicode MS" w:hint="eastAsia"/>
          <w:szCs w:val="20"/>
        </w:rPr>
        <w:t>個人資料正確性有爭議者，應依本法第</w:t>
      </w:r>
      <w:hyperlink r:id="rId33" w:anchor="a11" w:history="1">
        <w:r w:rsidR="00E31763" w:rsidRPr="00C650C0">
          <w:rPr>
            <w:rStyle w:val="a3"/>
            <w:rFonts w:ascii="Arial Unicode MS" w:hAnsi="Arial Unicode MS" w:hint="eastAsia"/>
            <w:szCs w:val="20"/>
          </w:rPr>
          <w:t>十一</w:t>
        </w:r>
      </w:hyperlink>
      <w:r w:rsidR="00E31763" w:rsidRPr="008F26CD">
        <w:rPr>
          <w:rFonts w:ascii="Arial Unicode MS" w:hAnsi="Arial Unicode MS" w:hint="eastAsia"/>
          <w:szCs w:val="20"/>
        </w:rPr>
        <w:t>條第二項規定處理。</w:t>
      </w:r>
    </w:p>
    <w:p w14:paraId="3651BC87"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15</w:t>
      </w:r>
      <w:r w:rsidR="00DA186A">
        <w:rPr>
          <w:rFonts w:hint="eastAsia"/>
          <w:color w:val="548DD4"/>
        </w:rPr>
        <w:t>條</w:t>
      </w:r>
    </w:p>
    <w:p w14:paraId="4DBFEF66" w14:textId="6FCA16C7"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業者應定期確認其所保有個人資料之特定目的是否消失及期限是否屆滿，如特定目的消失或期限屆滿時，應依本法第</w:t>
      </w:r>
      <w:hyperlink r:id="rId34" w:anchor="a11" w:history="1">
        <w:r w:rsidR="00E31763" w:rsidRPr="00C650C0">
          <w:rPr>
            <w:rStyle w:val="a3"/>
            <w:rFonts w:ascii="Arial Unicode MS" w:hAnsi="Arial Unicode MS" w:hint="eastAsia"/>
            <w:szCs w:val="20"/>
          </w:rPr>
          <w:t>十一</w:t>
        </w:r>
      </w:hyperlink>
      <w:r w:rsidR="00E31763" w:rsidRPr="008F26CD">
        <w:rPr>
          <w:rFonts w:ascii="Arial Unicode MS" w:hAnsi="Arial Unicode MS" w:hint="eastAsia"/>
          <w:szCs w:val="20"/>
        </w:rPr>
        <w:t>條第三項規定處理。</w:t>
      </w:r>
    </w:p>
    <w:p w14:paraId="41219ED0"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16</w:t>
      </w:r>
      <w:r w:rsidR="00DA186A">
        <w:rPr>
          <w:rFonts w:hint="eastAsia"/>
          <w:color w:val="548DD4"/>
        </w:rPr>
        <w:t>條</w:t>
      </w:r>
    </w:p>
    <w:p w14:paraId="306E3150" w14:textId="72154C12"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業者得採取下列人員管理措施：</w:t>
      </w:r>
    </w:p>
    <w:p w14:paraId="16ACA98A"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一、依據作業之需要，建立管理機制，設定所屬人員不同權限，並定期確認權限內容之適當及必要性</w:t>
      </w:r>
      <w:r w:rsidR="00DA186A">
        <w:rPr>
          <w:rFonts w:ascii="Arial Unicode MS" w:hAnsi="Arial Unicode MS" w:hint="eastAsia"/>
          <w:szCs w:val="20"/>
        </w:rPr>
        <w:t>。</w:t>
      </w:r>
    </w:p>
    <w:p w14:paraId="69910EB1" w14:textId="6F468FBA"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檢視各相關業務流程涉及蒐集、處理及利用個人資料之負責人員</w:t>
      </w:r>
      <w:r>
        <w:rPr>
          <w:rFonts w:ascii="Arial Unicode MS" w:hAnsi="Arial Unicode MS" w:hint="eastAsia"/>
          <w:szCs w:val="20"/>
        </w:rPr>
        <w:t>。</w:t>
      </w:r>
    </w:p>
    <w:p w14:paraId="0A53B348" w14:textId="39A53E95"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三</w:t>
      </w:r>
      <w:r>
        <w:rPr>
          <w:rFonts w:ascii="Arial Unicode MS" w:hAnsi="Arial Unicode MS" w:hint="eastAsia"/>
          <w:szCs w:val="20"/>
        </w:rPr>
        <w:t>、</w:t>
      </w:r>
      <w:r w:rsidR="00E31763" w:rsidRPr="008F26CD">
        <w:rPr>
          <w:rFonts w:ascii="Arial Unicode MS" w:hAnsi="Arial Unicode MS" w:hint="eastAsia"/>
          <w:szCs w:val="20"/>
        </w:rPr>
        <w:t>與所屬人員約定保密義務。</w:t>
      </w:r>
    </w:p>
    <w:p w14:paraId="7933CEA3"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17</w:t>
      </w:r>
      <w:r w:rsidR="00DA186A">
        <w:rPr>
          <w:rFonts w:hint="eastAsia"/>
          <w:color w:val="548DD4"/>
        </w:rPr>
        <w:t>條</w:t>
      </w:r>
    </w:p>
    <w:p w14:paraId="65F70B8B" w14:textId="2C37AACA"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業者得採取下列資料安全管理措施：</w:t>
      </w:r>
    </w:p>
    <w:p w14:paraId="224DC858"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一、運用電腦或自動化機器相關設備蒐集、處理或利用個人資料時，宜訂定使用可攜式設備或儲存媒體之規範</w:t>
      </w:r>
      <w:r w:rsidR="00DA186A">
        <w:rPr>
          <w:rFonts w:ascii="Arial Unicode MS" w:hAnsi="Arial Unicode MS" w:hint="eastAsia"/>
          <w:szCs w:val="20"/>
        </w:rPr>
        <w:t>。</w:t>
      </w:r>
    </w:p>
    <w:p w14:paraId="4647E7B7" w14:textId="6382FC6F"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針對所保有之個人資料內容，如有加密之需要，於蒐集、處理或利用時，宜採取適當之加密機制</w:t>
      </w:r>
      <w:r>
        <w:rPr>
          <w:rFonts w:ascii="Arial Unicode MS" w:hAnsi="Arial Unicode MS" w:hint="eastAsia"/>
          <w:szCs w:val="20"/>
        </w:rPr>
        <w:t>。</w:t>
      </w:r>
    </w:p>
    <w:p w14:paraId="4EDE70D9" w14:textId="719720C9"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三</w:t>
      </w:r>
      <w:r>
        <w:rPr>
          <w:rFonts w:ascii="Arial Unicode MS" w:hAnsi="Arial Unicode MS" w:hint="eastAsia"/>
          <w:szCs w:val="20"/>
        </w:rPr>
        <w:t>、</w:t>
      </w:r>
      <w:r w:rsidR="00E31763" w:rsidRPr="008F26CD">
        <w:rPr>
          <w:rFonts w:ascii="Arial Unicode MS" w:hAnsi="Arial Unicode MS" w:hint="eastAsia"/>
          <w:szCs w:val="20"/>
        </w:rPr>
        <w:t>作業過程有備份個人資料之需要時，應比照原件，依本法規定予以保護之</w:t>
      </w:r>
      <w:r>
        <w:rPr>
          <w:rFonts w:ascii="Arial Unicode MS" w:hAnsi="Arial Unicode MS" w:hint="eastAsia"/>
          <w:szCs w:val="20"/>
        </w:rPr>
        <w:t>。</w:t>
      </w:r>
    </w:p>
    <w:p w14:paraId="58F35C1F" w14:textId="0CCE606B"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四</w:t>
      </w:r>
      <w:r>
        <w:rPr>
          <w:rFonts w:ascii="Arial Unicode MS" w:hAnsi="Arial Unicode MS" w:hint="eastAsia"/>
          <w:szCs w:val="20"/>
        </w:rPr>
        <w:t>、</w:t>
      </w:r>
      <w:r w:rsidR="00E31763" w:rsidRPr="008F26CD">
        <w:rPr>
          <w:rFonts w:ascii="Arial Unicode MS" w:hAnsi="Arial Unicode MS" w:hint="eastAsia"/>
          <w:szCs w:val="20"/>
        </w:rPr>
        <w:t>個人資料存在於紙本、磁碟、磁帶、光碟片、微縮片、積體電路晶片等媒介物，嗣該媒介物於報廢或轉作其他用途時，宜採適當防範措施，以免由該媒介物洩漏個人資料。</w:t>
      </w:r>
    </w:p>
    <w:p w14:paraId="50B8E426"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18</w:t>
      </w:r>
      <w:r w:rsidR="00DA186A">
        <w:rPr>
          <w:rFonts w:hint="eastAsia"/>
          <w:color w:val="548DD4"/>
        </w:rPr>
        <w:t>條</w:t>
      </w:r>
    </w:p>
    <w:p w14:paraId="32EB4C16" w14:textId="6A772B2D"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業者針對保有個人資料存在於紙本、磁碟、磁帶、光碟片、微縮片、積體電路晶片、電腦或自動化機器設備等媒介物之環境，宜採取下列環境管理措施：</w:t>
      </w:r>
    </w:p>
    <w:p w14:paraId="1DF3DBDA"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一、依據作業內容之不同，實施適宜之進出管制方式</w:t>
      </w:r>
      <w:r w:rsidR="00DA186A">
        <w:rPr>
          <w:rFonts w:ascii="Arial Unicode MS" w:hAnsi="Arial Unicode MS" w:hint="eastAsia"/>
          <w:szCs w:val="20"/>
        </w:rPr>
        <w:t>。</w:t>
      </w:r>
    </w:p>
    <w:p w14:paraId="0E3C457D" w14:textId="05DD8CC7"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所屬人員妥善保管個人資料之儲存媒介物</w:t>
      </w:r>
      <w:r>
        <w:rPr>
          <w:rFonts w:ascii="Arial Unicode MS" w:hAnsi="Arial Unicode MS" w:hint="eastAsia"/>
          <w:szCs w:val="20"/>
        </w:rPr>
        <w:t>。</w:t>
      </w:r>
    </w:p>
    <w:p w14:paraId="270E1FDA" w14:textId="1FC28FE8"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三</w:t>
      </w:r>
      <w:r>
        <w:rPr>
          <w:rFonts w:ascii="Arial Unicode MS" w:hAnsi="Arial Unicode MS" w:hint="eastAsia"/>
          <w:szCs w:val="20"/>
        </w:rPr>
        <w:t>、</w:t>
      </w:r>
      <w:r w:rsidR="00E31763" w:rsidRPr="008F26CD">
        <w:rPr>
          <w:rFonts w:ascii="Arial Unicode MS" w:hAnsi="Arial Unicode MS" w:hint="eastAsia"/>
          <w:szCs w:val="20"/>
        </w:rPr>
        <w:t>針對不同媒介物存在之環境，審酌建置適度之保護設備或技術。</w:t>
      </w:r>
    </w:p>
    <w:p w14:paraId="4689686E"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19</w:t>
      </w:r>
      <w:r w:rsidR="00DA186A">
        <w:rPr>
          <w:rFonts w:hint="eastAsia"/>
          <w:color w:val="548DD4"/>
        </w:rPr>
        <w:t>條</w:t>
      </w:r>
    </w:p>
    <w:p w14:paraId="6F020FFB" w14:textId="4153046A"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業者於業務終止後，針對個人資料得參酌下列措施為之，並留存相關紀錄：</w:t>
      </w:r>
    </w:p>
    <w:p w14:paraId="6DB512E0" w14:textId="77777777" w:rsidR="00DA186A" w:rsidRDefault="00E31763" w:rsidP="00E31763">
      <w:pPr>
        <w:ind w:left="142"/>
        <w:jc w:val="both"/>
        <w:rPr>
          <w:rFonts w:ascii="Arial Unicode MS" w:hAnsi="Arial Unicode MS" w:hint="eastAsia"/>
          <w:szCs w:val="20"/>
        </w:rPr>
      </w:pPr>
      <w:r w:rsidRPr="008F26CD">
        <w:rPr>
          <w:rFonts w:ascii="Arial Unicode MS" w:hAnsi="Arial Unicode MS" w:hint="eastAsia"/>
          <w:szCs w:val="20"/>
        </w:rPr>
        <w:t xml:space="preserve">　　一、銷毀：銷毀之方法、時間、地點及證明銷毀之方式</w:t>
      </w:r>
      <w:r w:rsidR="00DA186A">
        <w:rPr>
          <w:rFonts w:ascii="Arial Unicode MS" w:hAnsi="Arial Unicode MS" w:hint="eastAsia"/>
          <w:szCs w:val="20"/>
        </w:rPr>
        <w:t>。</w:t>
      </w:r>
    </w:p>
    <w:p w14:paraId="170A47B9" w14:textId="5504BE68" w:rsidR="00DA186A" w:rsidRDefault="00DA186A" w:rsidP="00E31763">
      <w:pPr>
        <w:ind w:left="142"/>
        <w:jc w:val="both"/>
        <w:rPr>
          <w:rFonts w:ascii="Arial Unicode MS" w:hAnsi="Arial Unicode MS" w:hint="eastAsia"/>
          <w:szCs w:val="20"/>
        </w:rPr>
      </w:pPr>
      <w:r>
        <w:rPr>
          <w:rFonts w:ascii="Arial Unicode MS" w:hAnsi="Arial Unicode MS" w:hint="eastAsia"/>
          <w:szCs w:val="20"/>
        </w:rPr>
        <w:t xml:space="preserve">　　</w:t>
      </w:r>
      <w:r w:rsidRPr="008F26CD">
        <w:rPr>
          <w:rFonts w:ascii="Arial Unicode MS" w:hAnsi="Arial Unicode MS" w:hint="eastAsia"/>
          <w:szCs w:val="20"/>
        </w:rPr>
        <w:t>二</w:t>
      </w:r>
      <w:r>
        <w:rPr>
          <w:rFonts w:ascii="Arial Unicode MS" w:hAnsi="Arial Unicode MS" w:hint="eastAsia"/>
          <w:szCs w:val="20"/>
        </w:rPr>
        <w:t>、</w:t>
      </w:r>
      <w:r w:rsidR="00E31763" w:rsidRPr="008F26CD">
        <w:rPr>
          <w:rFonts w:ascii="Arial Unicode MS" w:hAnsi="Arial Unicode MS" w:hint="eastAsia"/>
          <w:szCs w:val="20"/>
        </w:rPr>
        <w:t>移轉：移轉之原因、對象、方法、時間、地點及受移轉對象得保有該項個人資料之合法依據</w:t>
      </w:r>
      <w:r>
        <w:rPr>
          <w:rFonts w:ascii="Arial Unicode MS" w:hAnsi="Arial Unicode MS" w:hint="eastAsia"/>
          <w:szCs w:val="20"/>
        </w:rPr>
        <w:t>。</w:t>
      </w:r>
    </w:p>
    <w:p w14:paraId="7EF106BF" w14:textId="18F01AA7" w:rsidR="00E31763" w:rsidRPr="008F26CD" w:rsidRDefault="00DA186A" w:rsidP="00E31763">
      <w:pPr>
        <w:ind w:left="142"/>
        <w:jc w:val="both"/>
        <w:rPr>
          <w:rFonts w:ascii="Arial Unicode MS" w:hAnsi="Arial Unicode MS"/>
          <w:szCs w:val="20"/>
        </w:rPr>
      </w:pPr>
      <w:r>
        <w:rPr>
          <w:rFonts w:ascii="Arial Unicode MS" w:hAnsi="Arial Unicode MS" w:hint="eastAsia"/>
          <w:szCs w:val="20"/>
        </w:rPr>
        <w:t xml:space="preserve">　　</w:t>
      </w:r>
      <w:r w:rsidRPr="008F26CD">
        <w:rPr>
          <w:rFonts w:ascii="Arial Unicode MS" w:hAnsi="Arial Unicode MS" w:hint="eastAsia"/>
          <w:szCs w:val="20"/>
        </w:rPr>
        <w:t>三</w:t>
      </w:r>
      <w:r>
        <w:rPr>
          <w:rFonts w:ascii="Arial Unicode MS" w:hAnsi="Arial Unicode MS" w:hint="eastAsia"/>
          <w:szCs w:val="20"/>
        </w:rPr>
        <w:t>、</w:t>
      </w:r>
      <w:r w:rsidR="00E31763" w:rsidRPr="008F26CD">
        <w:rPr>
          <w:rFonts w:ascii="Arial Unicode MS" w:hAnsi="Arial Unicode MS" w:hint="eastAsia"/>
          <w:szCs w:val="20"/>
        </w:rPr>
        <w:t>其他刪除、停止處理或利用個人資料：刪除、停止處理或利用之方法、時間或地點。</w:t>
      </w:r>
    </w:p>
    <w:p w14:paraId="1DAA20C9"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20</w:t>
      </w:r>
      <w:r w:rsidR="00DA186A">
        <w:rPr>
          <w:rFonts w:hint="eastAsia"/>
          <w:color w:val="548DD4"/>
        </w:rPr>
        <w:t>條</w:t>
      </w:r>
    </w:p>
    <w:p w14:paraId="3DCCE880" w14:textId="662924EF"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業者應訂定個人資料安全稽核機制，定期或不定期查察是否落實執行所訂之個人資料檔案安全維護計畫或業務終止後個人資料處理方法等相關事項。</w:t>
      </w:r>
    </w:p>
    <w:p w14:paraId="4DFF0951"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21</w:t>
      </w:r>
      <w:r w:rsidR="00DA186A">
        <w:rPr>
          <w:rFonts w:hint="eastAsia"/>
          <w:color w:val="548DD4"/>
        </w:rPr>
        <w:t>條</w:t>
      </w:r>
    </w:p>
    <w:p w14:paraId="19C1062E" w14:textId="5D887765"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業者得採行適當措施，採取個人資料使用紀錄、留存自動化機器設備之軌跡資料或其他相關證據保存機</w:t>
      </w:r>
      <w:r w:rsidR="00E31763" w:rsidRPr="008F26CD">
        <w:rPr>
          <w:rFonts w:ascii="Arial Unicode MS" w:hAnsi="Arial Unicode MS" w:hint="eastAsia"/>
          <w:szCs w:val="20"/>
        </w:rPr>
        <w:lastRenderedPageBreak/>
        <w:t>制，以供必要時說明其所訂計畫之執行情況。</w:t>
      </w:r>
    </w:p>
    <w:p w14:paraId="50333DCF" w14:textId="77777777" w:rsidR="00DA186A" w:rsidRDefault="00E31763" w:rsidP="008F4137">
      <w:pPr>
        <w:pStyle w:val="2"/>
        <w:rPr>
          <w:rFonts w:hint="eastAsia"/>
          <w:color w:val="548DD4"/>
        </w:rPr>
      </w:pPr>
      <w:r w:rsidRPr="00FD0788">
        <w:rPr>
          <w:rFonts w:hint="eastAsia"/>
          <w:color w:val="548DD4"/>
        </w:rPr>
        <w:t>第</w:t>
      </w:r>
      <w:r w:rsidRPr="00FD0788">
        <w:rPr>
          <w:rFonts w:hint="eastAsia"/>
          <w:color w:val="548DD4"/>
        </w:rPr>
        <w:t>22</w:t>
      </w:r>
      <w:r w:rsidR="00DA186A">
        <w:rPr>
          <w:rFonts w:hint="eastAsia"/>
          <w:color w:val="548DD4"/>
        </w:rPr>
        <w:t>條</w:t>
      </w:r>
    </w:p>
    <w:p w14:paraId="0FAC5ADE" w14:textId="7685CE44" w:rsidR="00E31763" w:rsidRPr="008F26CD" w:rsidRDefault="00116452" w:rsidP="00E31763">
      <w:pPr>
        <w:ind w:left="142"/>
        <w:jc w:val="both"/>
        <w:rPr>
          <w:rFonts w:ascii="Arial Unicode MS" w:hAnsi="Arial Unicode MS"/>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8F26CD">
        <w:rPr>
          <w:rFonts w:ascii="Arial Unicode MS" w:hAnsi="Arial Unicode MS" w:hint="eastAsia"/>
          <w:szCs w:val="20"/>
        </w:rPr>
        <w:t>業者宜參酌執行業務現況、社會輿情、技術發展、法令變化等因素，檢視所訂計畫是否合宜，必要時予以修正。</w:t>
      </w:r>
    </w:p>
    <w:p w14:paraId="345C356A" w14:textId="1DD69C17" w:rsidR="00DA186A" w:rsidRDefault="00E31763" w:rsidP="008F4137">
      <w:pPr>
        <w:pStyle w:val="2"/>
        <w:rPr>
          <w:rFonts w:hint="eastAsia"/>
          <w:color w:val="548DD4"/>
        </w:rPr>
      </w:pPr>
      <w:bookmarkStart w:id="3" w:name="a23"/>
      <w:bookmarkEnd w:id="3"/>
      <w:r w:rsidRPr="00FD0788">
        <w:rPr>
          <w:rFonts w:hint="eastAsia"/>
          <w:color w:val="548DD4"/>
        </w:rPr>
        <w:t>第</w:t>
      </w:r>
      <w:r w:rsidRPr="00FD0788">
        <w:rPr>
          <w:rFonts w:hint="eastAsia"/>
          <w:color w:val="548DD4"/>
        </w:rPr>
        <w:t>23</w:t>
      </w:r>
      <w:r w:rsidR="00DA186A">
        <w:rPr>
          <w:rFonts w:hint="eastAsia"/>
          <w:color w:val="548DD4"/>
        </w:rPr>
        <w:t>條</w:t>
      </w:r>
      <w:r w:rsidR="00DA186A" w:rsidRPr="00DA186A">
        <w:rPr>
          <w:rFonts w:ascii="新細明體" w:hAnsi="新細明體" w:hint="eastAsia"/>
          <w:b w:val="0"/>
          <w:bCs w:val="0"/>
          <w:color w:val="FFFFFF"/>
        </w:rPr>
        <w:t>∵</w:t>
      </w:r>
    </w:p>
    <w:p w14:paraId="2172A228" w14:textId="2D6493C8" w:rsidR="00DA186A" w:rsidRDefault="00116452" w:rsidP="006620DA">
      <w:pPr>
        <w:ind w:left="142"/>
        <w:jc w:val="both"/>
        <w:rPr>
          <w:rFonts w:ascii="Arial Unicode MS" w:hAnsi="Arial Unicode MS" w:hint="eastAsia"/>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6620DA" w:rsidRPr="00051D3E">
        <w:rPr>
          <w:rFonts w:ascii="Arial Unicode MS" w:hAnsi="Arial Unicode MS" w:hint="eastAsia"/>
        </w:rPr>
        <w:t>本辦法自中華民國一百零四年一月一日施行</w:t>
      </w:r>
      <w:r w:rsidR="00DA186A">
        <w:rPr>
          <w:rFonts w:ascii="Arial Unicode MS" w:hAnsi="Arial Unicode MS" w:hint="eastAsia"/>
        </w:rPr>
        <w:t>。</w:t>
      </w:r>
    </w:p>
    <w:p w14:paraId="5BBA1F5A" w14:textId="3C1419D5" w:rsidR="006620DA" w:rsidRPr="006620DA" w:rsidRDefault="00116452" w:rsidP="006620DA">
      <w:pPr>
        <w:ind w:left="142"/>
        <w:jc w:val="both"/>
        <w:rPr>
          <w:rFonts w:ascii="Arial Unicode MS" w:hAnsi="Arial Unicode MS"/>
          <w:color w:val="17365D"/>
        </w:rPr>
      </w:pPr>
      <w:r w:rsidRPr="00F939EC">
        <w:rPr>
          <w:rFonts w:ascii="Calibri" w:hAnsi="Calibri" w:hint="eastAsia"/>
          <w:color w:val="404040"/>
          <w:sz w:val="18"/>
        </w:rPr>
        <w:t>﹝</w:t>
      </w:r>
      <w:r w:rsidRPr="00F939EC">
        <w:rPr>
          <w:rFonts w:ascii="Calibri" w:hAnsi="Calibri" w:hint="eastAsia"/>
          <w:color w:val="404040"/>
          <w:sz w:val="18"/>
        </w:rPr>
        <w:t>2</w:t>
      </w:r>
      <w:r w:rsidRPr="00F939EC">
        <w:rPr>
          <w:rFonts w:ascii="Calibri" w:hAnsi="Calibri" w:hint="eastAsia"/>
          <w:color w:val="404040"/>
          <w:sz w:val="18"/>
        </w:rPr>
        <w:t>﹞</w:t>
      </w:r>
      <w:r w:rsidR="006620DA" w:rsidRPr="006620DA">
        <w:rPr>
          <w:rFonts w:ascii="Arial Unicode MS" w:hAnsi="Arial Unicode MS" w:hint="eastAsia"/>
          <w:color w:val="17365D"/>
        </w:rPr>
        <w:t>本辦法修正條文自發布日施行。</w:t>
      </w:r>
    </w:p>
    <w:p w14:paraId="788FC965" w14:textId="686431DF" w:rsidR="00DA186A" w:rsidRDefault="00DA186A" w:rsidP="00C42A52">
      <w:pPr>
        <w:pStyle w:val="3"/>
        <w:rPr>
          <w:rFonts w:hint="eastAsia"/>
        </w:rPr>
      </w:pPr>
      <w:r>
        <w:rPr>
          <w:rFonts w:hint="eastAsia"/>
        </w:rPr>
        <w:t>--</w:t>
      </w:r>
      <w:r w:rsidRPr="009C1B7D">
        <w:rPr>
          <w:rFonts w:hint="eastAsia"/>
        </w:rPr>
        <w:t>104</w:t>
      </w:r>
      <w:r w:rsidRPr="009C1B7D">
        <w:rPr>
          <w:rFonts w:hint="eastAsia"/>
        </w:rPr>
        <w:t>年</w:t>
      </w:r>
      <w:r>
        <w:rPr>
          <w:rFonts w:hint="eastAsia"/>
        </w:rPr>
        <w:t>12</w:t>
      </w:r>
      <w:r w:rsidRPr="009C1B7D">
        <w:rPr>
          <w:rFonts w:hint="eastAsia"/>
        </w:rPr>
        <w:t>月</w:t>
      </w:r>
      <w:r>
        <w:rPr>
          <w:rFonts w:hint="eastAsia"/>
        </w:rPr>
        <w:t>2</w:t>
      </w:r>
      <w:r>
        <w:rPr>
          <w:rFonts w:hint="eastAsia"/>
        </w:rPr>
        <w:t>日修正前條文</w:t>
      </w:r>
      <w:r>
        <w:rPr>
          <w:rFonts w:hint="eastAsia"/>
        </w:rPr>
        <w:t>--</w:t>
      </w:r>
      <w:hyperlink r:id="rId35" w:history="1">
        <w:r w:rsidRPr="009C1B7D">
          <w:rPr>
            <w:rStyle w:val="a3"/>
          </w:rPr>
          <w:t>比對程式</w:t>
        </w:r>
      </w:hyperlink>
    </w:p>
    <w:p w14:paraId="6CF49480" w14:textId="4832EDB8" w:rsidR="00E31763" w:rsidRPr="006620DA" w:rsidRDefault="00116452" w:rsidP="00E31763">
      <w:pPr>
        <w:ind w:left="142"/>
        <w:jc w:val="both"/>
        <w:rPr>
          <w:rFonts w:ascii="Arial Unicode MS" w:hAnsi="Arial Unicode MS"/>
          <w:color w:val="5F5F5F"/>
          <w:szCs w:val="20"/>
        </w:rPr>
      </w:pPr>
      <w:r w:rsidRPr="00F939EC">
        <w:rPr>
          <w:rFonts w:ascii="Calibri" w:hAnsi="Calibri" w:hint="eastAsia"/>
          <w:color w:val="404040"/>
          <w:sz w:val="18"/>
        </w:rPr>
        <w:t>﹝</w:t>
      </w:r>
      <w:r w:rsidRPr="00F939EC">
        <w:rPr>
          <w:rFonts w:ascii="Calibri" w:hAnsi="Calibri" w:hint="eastAsia"/>
          <w:color w:val="404040"/>
          <w:sz w:val="18"/>
        </w:rPr>
        <w:t>1</w:t>
      </w:r>
      <w:r w:rsidRPr="00F939EC">
        <w:rPr>
          <w:rFonts w:ascii="Calibri" w:hAnsi="Calibri" w:hint="eastAsia"/>
          <w:color w:val="404040"/>
          <w:sz w:val="18"/>
        </w:rPr>
        <w:t>﹞</w:t>
      </w:r>
      <w:r w:rsidR="00E31763" w:rsidRPr="006620DA">
        <w:rPr>
          <w:rFonts w:ascii="Arial Unicode MS" w:hAnsi="Arial Unicode MS" w:hint="eastAsia"/>
          <w:color w:val="5F5F5F"/>
          <w:szCs w:val="20"/>
        </w:rPr>
        <w:t>本辦法自中華民國一百零四年一月一日施行。</w:t>
      </w:r>
      <w:r w:rsidR="00DA186A" w:rsidRPr="00DA186A">
        <w:rPr>
          <w:rFonts w:ascii="新細明體" w:hAnsi="新細明體" w:hint="eastAsia"/>
          <w:color w:val="FFFFFF"/>
          <w:szCs w:val="20"/>
        </w:rPr>
        <w:t>∴</w:t>
      </w:r>
    </w:p>
    <w:p w14:paraId="7DF1E669" w14:textId="77777777" w:rsidR="00295D68" w:rsidRDefault="00295D68" w:rsidP="00175528">
      <w:pPr>
        <w:ind w:left="142"/>
        <w:jc w:val="both"/>
        <w:rPr>
          <w:rFonts w:ascii="Arial Unicode MS" w:hAnsi="Arial Unicode MS"/>
        </w:rPr>
      </w:pPr>
    </w:p>
    <w:p w14:paraId="44214A59" w14:textId="77777777" w:rsidR="00295D68" w:rsidRPr="002B406B" w:rsidRDefault="00295D68" w:rsidP="00175528">
      <w:pPr>
        <w:ind w:left="142"/>
        <w:jc w:val="both"/>
        <w:rPr>
          <w:rFonts w:ascii="Arial Unicode MS" w:hAnsi="Arial Unicode MS"/>
        </w:rPr>
      </w:pPr>
    </w:p>
    <w:p w14:paraId="41351D1E" w14:textId="77777777" w:rsidR="000B4E9B" w:rsidRPr="00C1655B" w:rsidRDefault="000B4E9B" w:rsidP="000B4E9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D4581A0" w14:textId="083B376D" w:rsidR="00E64725" w:rsidRPr="000B4E9B" w:rsidRDefault="000B4E9B" w:rsidP="000B4E9B">
      <w:pPr>
        <w:ind w:leftChars="71" w:left="142"/>
        <w:jc w:val="both"/>
        <w:rPr>
          <w:rFonts w:ascii="Arial Unicode MS" w:hAnsi="Arial Unicode MS"/>
          <w:color w:val="808080"/>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0B4E9B">
      <w:footerReference w:type="even" r:id="rId37"/>
      <w:footerReference w:type="default" r:id="rId3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6E1B" w14:textId="77777777" w:rsidR="00F939EC" w:rsidRDefault="00F939EC">
      <w:r>
        <w:separator/>
      </w:r>
    </w:p>
  </w:endnote>
  <w:endnote w:type="continuationSeparator" w:id="0">
    <w:p w14:paraId="26B5610D" w14:textId="77777777" w:rsidR="00F939EC" w:rsidRDefault="00F9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699A" w14:textId="220FDF64"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9649A">
      <w:rPr>
        <w:rStyle w:val="a6"/>
        <w:noProof/>
      </w:rPr>
      <w:t>1</w:t>
    </w:r>
    <w:r>
      <w:rPr>
        <w:rStyle w:val="a6"/>
      </w:rPr>
      <w:fldChar w:fldCharType="end"/>
    </w:r>
  </w:p>
  <w:p w14:paraId="4018FEC7"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40E3"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2A52">
      <w:rPr>
        <w:rStyle w:val="a6"/>
        <w:noProof/>
      </w:rPr>
      <w:t>4</w:t>
    </w:r>
    <w:r>
      <w:rPr>
        <w:rStyle w:val="a6"/>
      </w:rPr>
      <w:fldChar w:fldCharType="end"/>
    </w:r>
  </w:p>
  <w:p w14:paraId="246AFB64" w14:textId="1900F07E" w:rsidR="00242E0E" w:rsidRPr="00947276" w:rsidRDefault="0079649A"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ED2CC9" w:rsidRPr="00ED2CC9">
      <w:rPr>
        <w:rFonts w:ascii="Arial Unicode MS" w:hAnsi="Arial Unicode MS" w:hint="eastAsia"/>
        <w:sz w:val="18"/>
        <w:szCs w:val="18"/>
      </w:rPr>
      <w:t>廢</w:t>
    </w:r>
    <w:r w:rsidR="00ED2CC9" w:rsidRPr="00ED2CC9">
      <w:rPr>
        <w:rFonts w:ascii="Arial Unicode MS" w:hAnsi="Arial Unicode MS" w:hint="eastAsia"/>
        <w:sz w:val="18"/>
        <w:szCs w:val="18"/>
      </w:rPr>
      <w:t>:</w:t>
    </w:r>
    <w:r w:rsidR="008F4137" w:rsidRPr="008F4137">
      <w:rPr>
        <w:rFonts w:ascii="Arial Unicode MS" w:hAnsi="Arial Unicode MS" w:hint="eastAsia"/>
        <w:sz w:val="18"/>
        <w:szCs w:val="18"/>
      </w:rPr>
      <w:t>民用航空運輸業個人資料檔案安全維護計畫及處理辦法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026A" w14:textId="77777777" w:rsidR="00F939EC" w:rsidRDefault="00F939EC">
      <w:r>
        <w:separator/>
      </w:r>
    </w:p>
  </w:footnote>
  <w:footnote w:type="continuationSeparator" w:id="0">
    <w:p w14:paraId="61EE74EE" w14:textId="77777777" w:rsidR="00F939EC" w:rsidRDefault="00F9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26788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4DDE"/>
    <w:rsid w:val="00030299"/>
    <w:rsid w:val="00034106"/>
    <w:rsid w:val="000362C8"/>
    <w:rsid w:val="000375AF"/>
    <w:rsid w:val="00047E1B"/>
    <w:rsid w:val="00054298"/>
    <w:rsid w:val="0005494B"/>
    <w:rsid w:val="00067E86"/>
    <w:rsid w:val="00072E2E"/>
    <w:rsid w:val="000813C3"/>
    <w:rsid w:val="0008260A"/>
    <w:rsid w:val="00084A9C"/>
    <w:rsid w:val="00092BF5"/>
    <w:rsid w:val="000A186E"/>
    <w:rsid w:val="000A39E4"/>
    <w:rsid w:val="000B4E9B"/>
    <w:rsid w:val="000B5372"/>
    <w:rsid w:val="000E6C10"/>
    <w:rsid w:val="000F664A"/>
    <w:rsid w:val="00100AFC"/>
    <w:rsid w:val="00107E34"/>
    <w:rsid w:val="00116452"/>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E73AE"/>
    <w:rsid w:val="001F35B4"/>
    <w:rsid w:val="00201671"/>
    <w:rsid w:val="00202794"/>
    <w:rsid w:val="00211579"/>
    <w:rsid w:val="00211F15"/>
    <w:rsid w:val="00233C8F"/>
    <w:rsid w:val="00233E71"/>
    <w:rsid w:val="00237AEB"/>
    <w:rsid w:val="00242E0E"/>
    <w:rsid w:val="002431DA"/>
    <w:rsid w:val="00244C31"/>
    <w:rsid w:val="00250476"/>
    <w:rsid w:val="00265AF1"/>
    <w:rsid w:val="002759E3"/>
    <w:rsid w:val="00280157"/>
    <w:rsid w:val="0029107B"/>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372ED"/>
    <w:rsid w:val="00346029"/>
    <w:rsid w:val="00356A6B"/>
    <w:rsid w:val="003611BA"/>
    <w:rsid w:val="0037234B"/>
    <w:rsid w:val="00376CE0"/>
    <w:rsid w:val="003832C7"/>
    <w:rsid w:val="00392D6B"/>
    <w:rsid w:val="0039395A"/>
    <w:rsid w:val="00396441"/>
    <w:rsid w:val="003974F9"/>
    <w:rsid w:val="003A41F2"/>
    <w:rsid w:val="003D3CF8"/>
    <w:rsid w:val="003E031E"/>
    <w:rsid w:val="003F1B68"/>
    <w:rsid w:val="00423D29"/>
    <w:rsid w:val="004254F9"/>
    <w:rsid w:val="004422B7"/>
    <w:rsid w:val="00446FD2"/>
    <w:rsid w:val="00456FD4"/>
    <w:rsid w:val="00472DAD"/>
    <w:rsid w:val="00480695"/>
    <w:rsid w:val="00491BB5"/>
    <w:rsid w:val="00494365"/>
    <w:rsid w:val="004A7B4C"/>
    <w:rsid w:val="004B3090"/>
    <w:rsid w:val="004C3C4F"/>
    <w:rsid w:val="004C4985"/>
    <w:rsid w:val="004C53CF"/>
    <w:rsid w:val="004D327B"/>
    <w:rsid w:val="004E65FD"/>
    <w:rsid w:val="004F1A0B"/>
    <w:rsid w:val="00500E6A"/>
    <w:rsid w:val="005175DF"/>
    <w:rsid w:val="0052210E"/>
    <w:rsid w:val="005243DC"/>
    <w:rsid w:val="00525EE4"/>
    <w:rsid w:val="00526CB0"/>
    <w:rsid w:val="00527DA8"/>
    <w:rsid w:val="00532659"/>
    <w:rsid w:val="00533276"/>
    <w:rsid w:val="0053456A"/>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F269B"/>
    <w:rsid w:val="005F2DCF"/>
    <w:rsid w:val="005F4624"/>
    <w:rsid w:val="005F4688"/>
    <w:rsid w:val="005F611C"/>
    <w:rsid w:val="00602273"/>
    <w:rsid w:val="006026A7"/>
    <w:rsid w:val="00621E56"/>
    <w:rsid w:val="006338AD"/>
    <w:rsid w:val="006475EA"/>
    <w:rsid w:val="006505D3"/>
    <w:rsid w:val="006620DA"/>
    <w:rsid w:val="006712A6"/>
    <w:rsid w:val="00671B31"/>
    <w:rsid w:val="006962E8"/>
    <w:rsid w:val="0069720E"/>
    <w:rsid w:val="0069798E"/>
    <w:rsid w:val="00697B6D"/>
    <w:rsid w:val="006A4840"/>
    <w:rsid w:val="006C37D6"/>
    <w:rsid w:val="006E1FCC"/>
    <w:rsid w:val="006F02FC"/>
    <w:rsid w:val="00701248"/>
    <w:rsid w:val="0070387E"/>
    <w:rsid w:val="00703E5A"/>
    <w:rsid w:val="00704646"/>
    <w:rsid w:val="00711E1E"/>
    <w:rsid w:val="00715733"/>
    <w:rsid w:val="00752FB2"/>
    <w:rsid w:val="00780F68"/>
    <w:rsid w:val="00787C4D"/>
    <w:rsid w:val="0079649A"/>
    <w:rsid w:val="007A1DF9"/>
    <w:rsid w:val="007A3CDD"/>
    <w:rsid w:val="007B42AC"/>
    <w:rsid w:val="007C11EB"/>
    <w:rsid w:val="007C61E0"/>
    <w:rsid w:val="007D7380"/>
    <w:rsid w:val="007F5A73"/>
    <w:rsid w:val="008016D2"/>
    <w:rsid w:val="00801E84"/>
    <w:rsid w:val="00811FCC"/>
    <w:rsid w:val="00813D62"/>
    <w:rsid w:val="00824E90"/>
    <w:rsid w:val="00825355"/>
    <w:rsid w:val="008315AC"/>
    <w:rsid w:val="008342B2"/>
    <w:rsid w:val="00836E7C"/>
    <w:rsid w:val="00841D7C"/>
    <w:rsid w:val="00852450"/>
    <w:rsid w:val="00864881"/>
    <w:rsid w:val="0086558C"/>
    <w:rsid w:val="00865B8A"/>
    <w:rsid w:val="00880ADC"/>
    <w:rsid w:val="0089399F"/>
    <w:rsid w:val="00894E8C"/>
    <w:rsid w:val="0089629E"/>
    <w:rsid w:val="008B325C"/>
    <w:rsid w:val="008B3553"/>
    <w:rsid w:val="008C00E5"/>
    <w:rsid w:val="008C01DE"/>
    <w:rsid w:val="008D1E92"/>
    <w:rsid w:val="008D61CB"/>
    <w:rsid w:val="008E6FBF"/>
    <w:rsid w:val="008F4137"/>
    <w:rsid w:val="008F45DF"/>
    <w:rsid w:val="008F6396"/>
    <w:rsid w:val="00901C86"/>
    <w:rsid w:val="00902C5E"/>
    <w:rsid w:val="00911B0A"/>
    <w:rsid w:val="00913C26"/>
    <w:rsid w:val="00917D7C"/>
    <w:rsid w:val="0092267E"/>
    <w:rsid w:val="00927FCF"/>
    <w:rsid w:val="00932A06"/>
    <w:rsid w:val="00932B4F"/>
    <w:rsid w:val="00936167"/>
    <w:rsid w:val="00937A81"/>
    <w:rsid w:val="00947276"/>
    <w:rsid w:val="009633B8"/>
    <w:rsid w:val="009654F7"/>
    <w:rsid w:val="009860F8"/>
    <w:rsid w:val="00993878"/>
    <w:rsid w:val="00996D4B"/>
    <w:rsid w:val="009A320C"/>
    <w:rsid w:val="009C4D0C"/>
    <w:rsid w:val="009E2E0A"/>
    <w:rsid w:val="009E33FA"/>
    <w:rsid w:val="009F231E"/>
    <w:rsid w:val="009F26F8"/>
    <w:rsid w:val="009F2B33"/>
    <w:rsid w:val="00A10366"/>
    <w:rsid w:val="00A12B0C"/>
    <w:rsid w:val="00A1435E"/>
    <w:rsid w:val="00A208D7"/>
    <w:rsid w:val="00A329B9"/>
    <w:rsid w:val="00A338E9"/>
    <w:rsid w:val="00A34A90"/>
    <w:rsid w:val="00A412D6"/>
    <w:rsid w:val="00A44CCF"/>
    <w:rsid w:val="00A4678A"/>
    <w:rsid w:val="00A63054"/>
    <w:rsid w:val="00A72615"/>
    <w:rsid w:val="00A82DAF"/>
    <w:rsid w:val="00A8350C"/>
    <w:rsid w:val="00AA1293"/>
    <w:rsid w:val="00AA4156"/>
    <w:rsid w:val="00AB1D94"/>
    <w:rsid w:val="00AB668E"/>
    <w:rsid w:val="00AC4B4D"/>
    <w:rsid w:val="00AF1AE3"/>
    <w:rsid w:val="00B0157B"/>
    <w:rsid w:val="00B025CC"/>
    <w:rsid w:val="00B05CC6"/>
    <w:rsid w:val="00B134E3"/>
    <w:rsid w:val="00B17ADD"/>
    <w:rsid w:val="00B30698"/>
    <w:rsid w:val="00B47D47"/>
    <w:rsid w:val="00B509E0"/>
    <w:rsid w:val="00B5761A"/>
    <w:rsid w:val="00B60522"/>
    <w:rsid w:val="00B67389"/>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80"/>
    <w:rsid w:val="00C42A52"/>
    <w:rsid w:val="00C471A4"/>
    <w:rsid w:val="00C56027"/>
    <w:rsid w:val="00C57193"/>
    <w:rsid w:val="00C650C0"/>
    <w:rsid w:val="00C75D36"/>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444E7"/>
    <w:rsid w:val="00D52690"/>
    <w:rsid w:val="00D53685"/>
    <w:rsid w:val="00D551C0"/>
    <w:rsid w:val="00D56674"/>
    <w:rsid w:val="00D60BD7"/>
    <w:rsid w:val="00D61614"/>
    <w:rsid w:val="00D61AB7"/>
    <w:rsid w:val="00D77174"/>
    <w:rsid w:val="00D824F9"/>
    <w:rsid w:val="00D85D87"/>
    <w:rsid w:val="00D941CA"/>
    <w:rsid w:val="00DA186A"/>
    <w:rsid w:val="00DC06D4"/>
    <w:rsid w:val="00DD2CD9"/>
    <w:rsid w:val="00DD6249"/>
    <w:rsid w:val="00DE29D6"/>
    <w:rsid w:val="00DE60CA"/>
    <w:rsid w:val="00DF494B"/>
    <w:rsid w:val="00DF6F22"/>
    <w:rsid w:val="00E046D3"/>
    <w:rsid w:val="00E05B98"/>
    <w:rsid w:val="00E16E31"/>
    <w:rsid w:val="00E26C33"/>
    <w:rsid w:val="00E31763"/>
    <w:rsid w:val="00E37332"/>
    <w:rsid w:val="00E439F2"/>
    <w:rsid w:val="00E64725"/>
    <w:rsid w:val="00E75407"/>
    <w:rsid w:val="00E76870"/>
    <w:rsid w:val="00E91523"/>
    <w:rsid w:val="00E91E9D"/>
    <w:rsid w:val="00E92963"/>
    <w:rsid w:val="00E94CF5"/>
    <w:rsid w:val="00EA2A87"/>
    <w:rsid w:val="00EB4D32"/>
    <w:rsid w:val="00ED2CC9"/>
    <w:rsid w:val="00EE0191"/>
    <w:rsid w:val="00EE212D"/>
    <w:rsid w:val="00EF3C9D"/>
    <w:rsid w:val="00EF5A95"/>
    <w:rsid w:val="00EF71D0"/>
    <w:rsid w:val="00F07FF1"/>
    <w:rsid w:val="00F13D17"/>
    <w:rsid w:val="00F20D77"/>
    <w:rsid w:val="00F47DD4"/>
    <w:rsid w:val="00F510DF"/>
    <w:rsid w:val="00F5332B"/>
    <w:rsid w:val="00F53513"/>
    <w:rsid w:val="00F855BC"/>
    <w:rsid w:val="00F86093"/>
    <w:rsid w:val="00F87EA2"/>
    <w:rsid w:val="00F909A7"/>
    <w:rsid w:val="00F90CE4"/>
    <w:rsid w:val="00F939EC"/>
    <w:rsid w:val="00F96C4B"/>
    <w:rsid w:val="00F976FD"/>
    <w:rsid w:val="00FB2684"/>
    <w:rsid w:val="00FD037F"/>
    <w:rsid w:val="00FD0788"/>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1646D"/>
  <w15:docId w15:val="{3E7D2DB1-B3D7-451C-94EA-7E58FEE5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796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0491;&#20154;&#36039;&#26009;&#20445;&#35703;&#27861;.docx" TargetMode="External"/><Relationship Id="rId26" Type="http://schemas.openxmlformats.org/officeDocument/2006/relationships/hyperlink" Target="../law/&#20491;&#20154;&#36039;&#26009;&#20445;&#35703;&#27861;.docx" TargetMode="External"/><Relationship Id="rId39" Type="http://schemas.openxmlformats.org/officeDocument/2006/relationships/fontTable" Target="fontTable.xml"/><Relationship Id="rId21" Type="http://schemas.openxmlformats.org/officeDocument/2006/relationships/hyperlink" Target="../law/&#20491;&#20154;&#36039;&#26009;&#20445;&#35703;&#27861;.docx" TargetMode="External"/><Relationship Id="rId34" Type="http://schemas.openxmlformats.org/officeDocument/2006/relationships/hyperlink" Target="../law/&#20491;&#20154;&#36039;&#26009;&#20445;&#35703;&#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27665;&#29992;&#33322;&#31354;&#20107;&#26989;&#20491;&#20154;&#36039;&#26009;&#27284;&#26696;&#23433;&#20840;&#32173;&#35703;&#35336;&#30059;&#21450;&#34389;&#29702;&#36774;&#27861;.docx" TargetMode="External"/><Relationship Id="rId25" Type="http://schemas.openxmlformats.org/officeDocument/2006/relationships/hyperlink" Target="../law/&#20491;&#20154;&#36039;&#26009;&#20445;&#35703;&#27861;.docx" TargetMode="External"/><Relationship Id="rId33" Type="http://schemas.openxmlformats.org/officeDocument/2006/relationships/hyperlink" Target="../law/&#20491;&#20154;&#36039;&#26009;&#20445;&#35703;&#27861;.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6laws.net/6law/law3/&#27665;&#29992;&#33322;&#31354;&#36939;&#36664;&#26989;&#20491;&#20154;&#36039;&#26009;&#27284;&#26696;&#23433;&#20840;&#32173;&#35703;&#35336;&#30059;&#21450;&#34389;&#29702;&#36774;&#27861;.htm" TargetMode="External"/><Relationship Id="rId20" Type="http://schemas.openxmlformats.org/officeDocument/2006/relationships/hyperlink" Target="../law/&#20491;&#20154;&#36039;&#26009;&#20445;&#35703;&#27861;.docx" TargetMode="External"/><Relationship Id="rId29" Type="http://schemas.openxmlformats.org/officeDocument/2006/relationships/hyperlink" Target="../law/&#20491;&#20154;&#36039;&#26009;&#20445;&#35703;&#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0491;&#20154;&#36039;&#26009;&#20445;&#35703;&#27861;.docx" TargetMode="External"/><Relationship Id="rId32" Type="http://schemas.openxmlformats.org/officeDocument/2006/relationships/hyperlink" Target="../law/&#20491;&#20154;&#36039;&#26009;&#20445;&#35703;&#27861;.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law/&#20491;&#20154;&#36039;&#26009;&#20445;&#35703;&#27861;.docx" TargetMode="External"/><Relationship Id="rId28" Type="http://schemas.openxmlformats.org/officeDocument/2006/relationships/hyperlink" Target="../law/&#20491;&#20154;&#36039;&#26009;&#20445;&#35703;&#27861;.docx" TargetMode="External"/><Relationship Id="rId36" Type="http://schemas.openxmlformats.org/officeDocument/2006/relationships/hyperlink" Target="https://www.6laws.net/comment.htm" TargetMode="External"/><Relationship Id="rId10" Type="http://schemas.openxmlformats.org/officeDocument/2006/relationships/hyperlink" Target="http://law.moj.gov.tw/LawClass/LawHistory.aspx?PCode=K0090080" TargetMode="External"/><Relationship Id="rId19" Type="http://schemas.openxmlformats.org/officeDocument/2006/relationships/hyperlink" Target="../diff/index.html" TargetMode="External"/><Relationship Id="rId31" Type="http://schemas.openxmlformats.org/officeDocument/2006/relationships/hyperlink" Target="../law/&#20491;&#20154;&#36039;&#26009;&#20445;&#35703;&#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tc.gov.tw/" TargetMode="External"/><Relationship Id="rId22" Type="http://schemas.openxmlformats.org/officeDocument/2006/relationships/hyperlink" Target="../law/&#20491;&#20154;&#36039;&#26009;&#20445;&#35703;&#27861;.docx" TargetMode="External"/><Relationship Id="rId27" Type="http://schemas.openxmlformats.org/officeDocument/2006/relationships/hyperlink" Target="../law3/&#20491;&#20154;&#36039;&#26009;&#20445;&#35703;&#27861;&#26045;&#34892;&#32048;&#21063;.docx" TargetMode="External"/><Relationship Id="rId30" Type="http://schemas.openxmlformats.org/officeDocument/2006/relationships/hyperlink" Target="../law/&#20491;&#20154;&#36039;&#26009;&#20445;&#35703;&#27861;.docx" TargetMode="External"/><Relationship Id="rId35" Type="http://schemas.openxmlformats.org/officeDocument/2006/relationships/hyperlink" Target="../diff/index.html"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Links>
    <vt:vector size="174" baseType="variant">
      <vt:variant>
        <vt:i4>2949124</vt:i4>
      </vt:variant>
      <vt:variant>
        <vt:i4>84</vt:i4>
      </vt:variant>
      <vt:variant>
        <vt:i4>0</vt:i4>
      </vt:variant>
      <vt:variant>
        <vt:i4>5</vt:i4>
      </vt:variant>
      <vt:variant>
        <vt:lpwstr>mailto:anita399646@hotmail.com</vt:lpwstr>
      </vt:variant>
      <vt:variant>
        <vt:lpwstr/>
      </vt:variant>
      <vt:variant>
        <vt:i4>8192049</vt:i4>
      </vt:variant>
      <vt:variant>
        <vt:i4>81</vt:i4>
      </vt:variant>
      <vt:variant>
        <vt:i4>0</vt:i4>
      </vt:variant>
      <vt:variant>
        <vt:i4>5</vt:i4>
      </vt:variant>
      <vt:variant>
        <vt:lpwstr>http://law.moj.gov.tw/</vt:lpwstr>
      </vt:variant>
      <vt:variant>
        <vt:lpwstr/>
      </vt:variant>
      <vt:variant>
        <vt:i4>6225996</vt:i4>
      </vt:variant>
      <vt:variant>
        <vt:i4>78</vt:i4>
      </vt:variant>
      <vt:variant>
        <vt:i4>0</vt:i4>
      </vt:variant>
      <vt:variant>
        <vt:i4>5</vt:i4>
      </vt:variant>
      <vt:variant>
        <vt:lpwstr>http://www.ly.gov.tw/</vt:lpwstr>
      </vt:variant>
      <vt:variant>
        <vt:lpwstr/>
      </vt:variant>
      <vt:variant>
        <vt:i4>786499</vt:i4>
      </vt:variant>
      <vt:variant>
        <vt:i4>75</vt:i4>
      </vt:variant>
      <vt:variant>
        <vt:i4>0</vt:i4>
      </vt:variant>
      <vt:variant>
        <vt:i4>5</vt:i4>
      </vt:variant>
      <vt:variant>
        <vt:lpwstr>http://www.president.gov.tw/</vt:lpwstr>
      </vt:variant>
      <vt:variant>
        <vt:lpwstr/>
      </vt:variant>
      <vt:variant>
        <vt:i4>7274612</vt:i4>
      </vt:variant>
      <vt:variant>
        <vt:i4>72</vt:i4>
      </vt:variant>
      <vt:variant>
        <vt:i4>0</vt:i4>
      </vt:variant>
      <vt:variant>
        <vt:i4>5</vt:i4>
      </vt:variant>
      <vt:variant>
        <vt:lpwstr/>
      </vt:variant>
      <vt:variant>
        <vt:lpwstr>top</vt:lpwstr>
      </vt:variant>
      <vt:variant>
        <vt:i4>-3694533</vt:i4>
      </vt:variant>
      <vt:variant>
        <vt:i4>69</vt:i4>
      </vt:variant>
      <vt:variant>
        <vt:i4>0</vt:i4>
      </vt:variant>
      <vt:variant>
        <vt:i4>5</vt:i4>
      </vt:variant>
      <vt:variant>
        <vt:lpwstr>../law/個人資料保護法.doc</vt:lpwstr>
      </vt:variant>
      <vt:variant>
        <vt:lpwstr>a11</vt:lpwstr>
      </vt:variant>
      <vt:variant>
        <vt:i4>-3694533</vt:i4>
      </vt:variant>
      <vt:variant>
        <vt:i4>66</vt:i4>
      </vt:variant>
      <vt:variant>
        <vt:i4>0</vt:i4>
      </vt:variant>
      <vt:variant>
        <vt:i4>5</vt:i4>
      </vt:variant>
      <vt:variant>
        <vt:lpwstr>../law/個人資料保護法.doc</vt:lpwstr>
      </vt:variant>
      <vt:variant>
        <vt:lpwstr>a11</vt:lpwstr>
      </vt:variant>
      <vt:variant>
        <vt:i4>-3694533</vt:i4>
      </vt:variant>
      <vt:variant>
        <vt:i4>63</vt:i4>
      </vt:variant>
      <vt:variant>
        <vt:i4>0</vt:i4>
      </vt:variant>
      <vt:variant>
        <vt:i4>5</vt:i4>
      </vt:variant>
      <vt:variant>
        <vt:lpwstr>../law/個人資料保護法.doc</vt:lpwstr>
      </vt:variant>
      <vt:variant>
        <vt:lpwstr>a11</vt:lpwstr>
      </vt:variant>
      <vt:variant>
        <vt:i4>-3694533</vt:i4>
      </vt:variant>
      <vt:variant>
        <vt:i4>60</vt:i4>
      </vt:variant>
      <vt:variant>
        <vt:i4>0</vt:i4>
      </vt:variant>
      <vt:variant>
        <vt:i4>5</vt:i4>
      </vt:variant>
      <vt:variant>
        <vt:lpwstr>../law/個人資料保護法.doc</vt:lpwstr>
      </vt:variant>
      <vt:variant>
        <vt:lpwstr>a10</vt:lpwstr>
      </vt:variant>
      <vt:variant>
        <vt:i4>-3694533</vt:i4>
      </vt:variant>
      <vt:variant>
        <vt:i4>57</vt:i4>
      </vt:variant>
      <vt:variant>
        <vt:i4>0</vt:i4>
      </vt:variant>
      <vt:variant>
        <vt:i4>5</vt:i4>
      </vt:variant>
      <vt:variant>
        <vt:lpwstr>../law/個人資料保護法.doc</vt:lpwstr>
      </vt:variant>
      <vt:variant>
        <vt:lpwstr>a13</vt:lpwstr>
      </vt:variant>
      <vt:variant>
        <vt:i4>-3825605</vt:i4>
      </vt:variant>
      <vt:variant>
        <vt:i4>54</vt:i4>
      </vt:variant>
      <vt:variant>
        <vt:i4>0</vt:i4>
      </vt:variant>
      <vt:variant>
        <vt:i4>5</vt:i4>
      </vt:variant>
      <vt:variant>
        <vt:lpwstr>../law/個人資料保護法.doc</vt:lpwstr>
      </vt:variant>
      <vt:variant>
        <vt:lpwstr>a3</vt:lpwstr>
      </vt:variant>
      <vt:variant>
        <vt:i4>-3891141</vt:i4>
      </vt:variant>
      <vt:variant>
        <vt:i4>51</vt:i4>
      </vt:variant>
      <vt:variant>
        <vt:i4>0</vt:i4>
      </vt:variant>
      <vt:variant>
        <vt:i4>5</vt:i4>
      </vt:variant>
      <vt:variant>
        <vt:lpwstr>../law/個人資料保護法.doc</vt:lpwstr>
      </vt:variant>
      <vt:variant>
        <vt:lpwstr>a21</vt:lpwstr>
      </vt:variant>
      <vt:variant>
        <vt:i4>-1195760231</vt:i4>
      </vt:variant>
      <vt:variant>
        <vt:i4>48</vt:i4>
      </vt:variant>
      <vt:variant>
        <vt:i4>0</vt:i4>
      </vt:variant>
      <vt:variant>
        <vt:i4>5</vt:i4>
      </vt:variant>
      <vt:variant>
        <vt:lpwstr>../law3/個人資料保護法施行細則.doc</vt:lpwstr>
      </vt:variant>
      <vt:variant>
        <vt:lpwstr>a8</vt:lpwstr>
      </vt:variant>
      <vt:variant>
        <vt:i4>-3891141</vt:i4>
      </vt:variant>
      <vt:variant>
        <vt:i4>45</vt:i4>
      </vt:variant>
      <vt:variant>
        <vt:i4>0</vt:i4>
      </vt:variant>
      <vt:variant>
        <vt:i4>5</vt:i4>
      </vt:variant>
      <vt:variant>
        <vt:lpwstr>../law/個人資料保護法.doc</vt:lpwstr>
      </vt:variant>
      <vt:variant>
        <vt:lpwstr>a20</vt:lpwstr>
      </vt:variant>
      <vt:variant>
        <vt:i4>-3694533</vt:i4>
      </vt:variant>
      <vt:variant>
        <vt:i4>42</vt:i4>
      </vt:variant>
      <vt:variant>
        <vt:i4>0</vt:i4>
      </vt:variant>
      <vt:variant>
        <vt:i4>5</vt:i4>
      </vt:variant>
      <vt:variant>
        <vt:lpwstr>../law/個人資料保護法.doc</vt:lpwstr>
      </vt:variant>
      <vt:variant>
        <vt:lpwstr>a19</vt:lpwstr>
      </vt:variant>
      <vt:variant>
        <vt:i4>-3170245</vt:i4>
      </vt:variant>
      <vt:variant>
        <vt:i4>39</vt:i4>
      </vt:variant>
      <vt:variant>
        <vt:i4>0</vt:i4>
      </vt:variant>
      <vt:variant>
        <vt:i4>5</vt:i4>
      </vt:variant>
      <vt:variant>
        <vt:lpwstr>../law/個人資料保護法.doc</vt:lpwstr>
      </vt:variant>
      <vt:variant>
        <vt:lpwstr>a9</vt:lpwstr>
      </vt:variant>
      <vt:variant>
        <vt:i4>-3235781</vt:i4>
      </vt:variant>
      <vt:variant>
        <vt:i4>36</vt:i4>
      </vt:variant>
      <vt:variant>
        <vt:i4>0</vt:i4>
      </vt:variant>
      <vt:variant>
        <vt:i4>5</vt:i4>
      </vt:variant>
      <vt:variant>
        <vt:lpwstr>../law/個人資料保護法.doc</vt:lpwstr>
      </vt:variant>
      <vt:variant>
        <vt:lpwstr>a8</vt:lpwstr>
      </vt:variant>
      <vt:variant>
        <vt:i4>-4153285</vt:i4>
      </vt:variant>
      <vt:variant>
        <vt:i4>33</vt:i4>
      </vt:variant>
      <vt:variant>
        <vt:i4>0</vt:i4>
      </vt:variant>
      <vt:variant>
        <vt:i4>5</vt:i4>
      </vt:variant>
      <vt:variant>
        <vt:lpwstr>../law/個人資料保護法.doc</vt:lpwstr>
      </vt:variant>
      <vt:variant>
        <vt:lpwstr>a6</vt:lpwstr>
      </vt:variant>
      <vt:variant>
        <vt:i4>-4153285</vt:i4>
      </vt:variant>
      <vt:variant>
        <vt:i4>30</vt:i4>
      </vt:variant>
      <vt:variant>
        <vt:i4>0</vt:i4>
      </vt:variant>
      <vt:variant>
        <vt:i4>5</vt:i4>
      </vt:variant>
      <vt:variant>
        <vt:lpwstr>../law/個人資料保護法.doc</vt:lpwstr>
      </vt:variant>
      <vt:variant>
        <vt:lpwstr>a6</vt:lpwstr>
      </vt:variant>
      <vt:variant>
        <vt:i4>-4153285</vt:i4>
      </vt:variant>
      <vt:variant>
        <vt:i4>27</vt:i4>
      </vt:variant>
      <vt:variant>
        <vt:i4>0</vt:i4>
      </vt:variant>
      <vt:variant>
        <vt:i4>5</vt:i4>
      </vt:variant>
      <vt:variant>
        <vt:lpwstr>../law/個人資料保護法.doc</vt:lpwstr>
      </vt:variant>
      <vt:variant>
        <vt:lpwstr>a6</vt:lpwstr>
      </vt:variant>
      <vt:variant>
        <vt:i4>3342433</vt:i4>
      </vt:variant>
      <vt:variant>
        <vt:i4>24</vt:i4>
      </vt:variant>
      <vt:variant>
        <vt:i4>0</vt:i4>
      </vt:variant>
      <vt:variant>
        <vt:i4>5</vt:i4>
      </vt:variant>
      <vt:variant>
        <vt:lpwstr/>
      </vt:variant>
      <vt:variant>
        <vt:lpwstr>a3</vt:lpwstr>
      </vt:variant>
      <vt:variant>
        <vt:i4>-3891141</vt:i4>
      </vt:variant>
      <vt:variant>
        <vt:i4>21</vt:i4>
      </vt:variant>
      <vt:variant>
        <vt:i4>0</vt:i4>
      </vt:variant>
      <vt:variant>
        <vt:i4>5</vt:i4>
      </vt:variant>
      <vt:variant>
        <vt:lpwstr>../law/個人資料保護法.doc</vt:lpwstr>
      </vt:variant>
      <vt:variant>
        <vt:lpwstr>a27</vt:lpwstr>
      </vt:variant>
      <vt:variant>
        <vt:i4>-219229873</vt:i4>
      </vt:variant>
      <vt:variant>
        <vt:i4>18</vt:i4>
      </vt:variant>
      <vt:variant>
        <vt:i4>0</vt:i4>
      </vt:variant>
      <vt:variant>
        <vt:i4>5</vt:i4>
      </vt:variant>
      <vt:variant>
        <vt:lpwstr>http://www.6law.idv.tw/6law/law3/民用航空運輸業個人資料檔案安全維護計畫及處理辦法.htm</vt:lpwstr>
      </vt:variant>
      <vt:variant>
        <vt:lpwstr/>
      </vt:variant>
      <vt:variant>
        <vt:i4>1803590169</vt:i4>
      </vt:variant>
      <vt:variant>
        <vt:i4>15</vt:i4>
      </vt:variant>
      <vt:variant>
        <vt:i4>0</vt:i4>
      </vt:variant>
      <vt:variant>
        <vt:i4>5</vt:i4>
      </vt:variant>
      <vt:variant>
        <vt:lpwstr>../S-link電子六法索引-2.doc</vt:lpwstr>
      </vt:variant>
      <vt:variant>
        <vt:lpwstr>民用航空運輸業個人資料檔案安全維護計畫及處理辦法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廢:民用航空運輸業個人資料檔案安全維護計畫及處理辦法</dc:title>
  <dc:subject/>
  <dc:creator>S-link 電子六法-黃婉玲</dc:creator>
  <cp:keywords/>
  <cp:lastModifiedBy>黃婉玲 S-link電子六法</cp:lastModifiedBy>
  <cp:revision>26</cp:revision>
  <dcterms:created xsi:type="dcterms:W3CDTF">2014-11-27T16:46:00Z</dcterms:created>
  <dcterms:modified xsi:type="dcterms:W3CDTF">2022-06-05T07:09:00Z</dcterms:modified>
</cp:coreProperties>
</file>