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6987" w14:textId="77777777" w:rsidR="00464EE7" w:rsidRDefault="001A426A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4A2246B5" wp14:editId="1FFF680B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4C76" w14:textId="0677962D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E42D32">
        <w:rPr>
          <w:rFonts w:ascii="Arial Unicode MS" w:hAnsi="Arial Unicode MS"/>
          <w:color w:val="7F7F7F"/>
          <w:sz w:val="18"/>
          <w:szCs w:val="20"/>
        </w:rPr>
        <w:t>2021/7/3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E42D32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6E6E00">
          <w:rPr>
            <w:rStyle w:val="a3"/>
            <w:sz w:val="18"/>
            <w:szCs w:val="20"/>
          </w:rPr>
          <w:t>黃婉玲</w:t>
        </w:r>
      </w:hyperlink>
    </w:p>
    <w:p w14:paraId="281544C7" w14:textId="77777777" w:rsidR="0045425A" w:rsidRPr="000509F5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000080"/>
          <w:u w:val="single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EC6E54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EC6E54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663"/>
        <w:gridCol w:w="2426"/>
      </w:tblGrid>
      <w:tr w:rsidR="0045425A" w:rsidRPr="000509F5" w14:paraId="72E1B886" w14:textId="77777777" w:rsidTr="00604A8E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52FC4E13" w14:textId="77777777" w:rsidR="0045425A" w:rsidRPr="00DE5DA3" w:rsidRDefault="0045425A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</w:pPr>
            <w:r w:rsidRPr="00DE5DA3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</w:t>
            </w:r>
            <w:r w:rsidRPr="00DE5DA3">
              <w:rPr>
                <w:rFonts w:ascii="Arial Unicode MS" w:hAnsi="Arial Unicode MS" w:hint="eastAsia"/>
                <w:b/>
                <w:bCs/>
                <w:color w:val="FFFFFF"/>
                <w:sz w:val="18"/>
                <w:szCs w:val="20"/>
              </w:rPr>
              <w:t>規名稱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344C0931" w14:textId="26202FC3" w:rsidR="0045425A" w:rsidRPr="000A5999" w:rsidRDefault="00516FD2" w:rsidP="00D123D7">
            <w:pPr>
              <w:keepNext/>
              <w:adjustRightInd w:val="0"/>
              <w:snapToGrid w:val="0"/>
              <w:spacing w:beforeLines="30" w:before="108" w:afterLines="30" w:after="108"/>
              <w:jc w:val="center"/>
              <w:outlineLvl w:val="1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59E1">
              <w:rPr>
                <w:rFonts w:eastAsia="標楷體" w:hint="eastAsia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違反傳染病防治法第五十八條第一項第二款、第三款及第三項規定所為之檢疫措施案件裁罰基準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640971EB" w14:textId="45AF526D" w:rsidR="00EC7AEC" w:rsidRPr="004E2FEA" w:rsidRDefault="0045425A" w:rsidP="005D6F38">
            <w:pPr>
              <w:ind w:leftChars="-6" w:left="-12"/>
              <w:jc w:val="both"/>
              <w:rPr>
                <w:rFonts w:ascii="Arial Unicode MS" w:hAnsi="Arial Unicode MS"/>
              </w:rPr>
            </w:pPr>
            <w:r w:rsidRPr="004E2FEA">
              <w:rPr>
                <w:rFonts w:ascii="Arial Unicode MS" w:hAnsi="Arial Unicode MS"/>
              </w:rPr>
              <w:t>【公布日期】</w:t>
            </w:r>
            <w:r w:rsidR="00A546D5" w:rsidRPr="00C06A84">
              <w:rPr>
                <w:rFonts w:ascii="Arial Unicode MS" w:hAnsi="Arial Unicode MS" w:hint="eastAsia"/>
              </w:rPr>
              <w:t>1</w:t>
            </w:r>
            <w:r w:rsidR="00A546D5" w:rsidRPr="00C06A84">
              <w:rPr>
                <w:rFonts w:ascii="Arial Unicode MS" w:hAnsi="Arial Unicode MS"/>
              </w:rPr>
              <w:t>10.0</w:t>
            </w:r>
            <w:r w:rsidR="00A546D5">
              <w:rPr>
                <w:rFonts w:ascii="Arial Unicode MS" w:hAnsi="Arial Unicode MS"/>
              </w:rPr>
              <w:t>6</w:t>
            </w:r>
            <w:r w:rsidR="00A546D5" w:rsidRPr="00C06A84">
              <w:rPr>
                <w:rFonts w:ascii="Arial Unicode MS" w:hAnsi="Arial Unicode MS"/>
              </w:rPr>
              <w:t>.</w:t>
            </w:r>
            <w:r w:rsidR="00A546D5">
              <w:rPr>
                <w:rFonts w:ascii="Arial Unicode MS" w:hAnsi="Arial Unicode MS"/>
              </w:rPr>
              <w:t>2</w:t>
            </w:r>
            <w:r w:rsidR="00A546D5">
              <w:rPr>
                <w:rFonts w:ascii="Arial Unicode MS" w:hAnsi="Arial Unicode MS"/>
              </w:rPr>
              <w:t>5</w:t>
            </w:r>
          </w:p>
          <w:p w14:paraId="59642B65" w14:textId="752D0B8D"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4E2FEA">
              <w:rPr>
                <w:rFonts w:ascii="Arial Unicode MS" w:hAnsi="Arial Unicode MS"/>
              </w:rPr>
              <w:t>【公布機關】</w:t>
            </w:r>
            <w:hyperlink r:id="rId11" w:history="1">
              <w:r w:rsidR="000A59EA" w:rsidRPr="00F453EC">
                <w:rPr>
                  <w:rStyle w:val="a3"/>
                  <w:sz w:val="18"/>
                </w:rPr>
                <w:t>衛生福利部</w:t>
              </w:r>
            </w:hyperlink>
          </w:p>
        </w:tc>
      </w:tr>
    </w:tbl>
    <w:p w14:paraId="5870F007" w14:textId="6F3E34AA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2" w:anchor="違反傳染病防治法第五十八條第一項第二款、第三款及第三項規定所為之檢疫措施案件裁罰基準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3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7FB5266A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638FA399" w14:textId="215E5C19" w:rsidR="00EC7AEC" w:rsidRPr="00604A8E" w:rsidRDefault="0045425A" w:rsidP="00604A8E">
      <w:pPr>
        <w:ind w:left="142"/>
        <w:rPr>
          <w:rFonts w:ascii="Arial Unicode MS" w:hAnsi="Arial Unicode MS"/>
          <w:sz w:val="18"/>
        </w:rPr>
      </w:pPr>
      <w:r w:rsidRPr="00604A8E">
        <w:rPr>
          <w:rFonts w:ascii="Arial Unicode MS" w:hAnsi="Arial Unicode MS"/>
          <w:b/>
          <w:sz w:val="18"/>
        </w:rPr>
        <w:t>1</w:t>
      </w:r>
      <w:r w:rsidR="00EB27D6" w:rsidRPr="00604A8E">
        <w:rPr>
          <w:rFonts w:ascii="新細明體" w:hAnsi="新細明體"/>
          <w:sz w:val="18"/>
        </w:rPr>
        <w:t>‧</w:t>
      </w:r>
      <w:r w:rsidR="00604A8E" w:rsidRPr="00604A8E">
        <w:rPr>
          <w:rFonts w:ascii="Arial Unicode MS" w:hAnsi="Arial Unicode MS" w:hint="eastAsia"/>
          <w:sz w:val="18"/>
        </w:rPr>
        <w:t>中華民國一百零九年十二月七日衛生福利部疾病管制署疾管檢字第</w:t>
      </w:r>
      <w:r w:rsidR="00604A8E" w:rsidRPr="00604A8E">
        <w:rPr>
          <w:rFonts w:ascii="Arial Unicode MS" w:hAnsi="Arial Unicode MS" w:hint="eastAsia"/>
          <w:sz w:val="18"/>
        </w:rPr>
        <w:t>1092100448</w:t>
      </w:r>
      <w:r w:rsidR="00604A8E" w:rsidRPr="00604A8E">
        <w:rPr>
          <w:rFonts w:ascii="Arial Unicode MS" w:hAnsi="Arial Unicode MS" w:hint="eastAsia"/>
          <w:sz w:val="18"/>
        </w:rPr>
        <w:t>號令訂定發布全文</w:t>
      </w:r>
      <w:r w:rsidR="00604A8E" w:rsidRPr="00604A8E">
        <w:rPr>
          <w:rFonts w:ascii="Arial Unicode MS" w:hAnsi="Arial Unicode MS" w:hint="eastAsia"/>
          <w:sz w:val="18"/>
        </w:rPr>
        <w:t>6</w:t>
      </w:r>
      <w:r w:rsidR="00604A8E" w:rsidRPr="00604A8E">
        <w:rPr>
          <w:rFonts w:ascii="Arial Unicode MS" w:hAnsi="Arial Unicode MS" w:hint="eastAsia"/>
          <w:sz w:val="18"/>
        </w:rPr>
        <w:t>點；並自即日生效</w:t>
      </w:r>
    </w:p>
    <w:p w14:paraId="21437202" w14:textId="69D6EB76" w:rsidR="00343CC3" w:rsidRDefault="00604A8E" w:rsidP="00604A8E">
      <w:pPr>
        <w:ind w:left="142"/>
        <w:rPr>
          <w:rFonts w:ascii="Arial Unicode MS" w:hAnsi="Arial Unicode MS" w:hint="eastAsia"/>
          <w:sz w:val="18"/>
        </w:rPr>
      </w:pPr>
      <w:r w:rsidRPr="00604A8E">
        <w:rPr>
          <w:rFonts w:ascii="Arial Unicode MS" w:hAnsi="Arial Unicode MS"/>
          <w:b/>
          <w:sz w:val="18"/>
        </w:rPr>
        <w:t>2</w:t>
      </w:r>
      <w:r w:rsidRPr="00604A8E">
        <w:rPr>
          <w:rFonts w:ascii="新細明體" w:hAnsi="新細明體"/>
          <w:sz w:val="18"/>
        </w:rPr>
        <w:t>‧</w:t>
      </w:r>
      <w:r w:rsidRPr="00604A8E">
        <w:rPr>
          <w:rFonts w:ascii="Arial Unicode MS" w:hAnsi="Arial Unicode MS" w:hint="eastAsia"/>
          <w:sz w:val="18"/>
        </w:rPr>
        <w:t>中華民國一百十年六月二十五日衛生福利部疾病管制署疾管檢字第</w:t>
      </w:r>
      <w:r w:rsidRPr="00604A8E">
        <w:rPr>
          <w:rFonts w:ascii="Arial Unicode MS" w:hAnsi="Arial Unicode MS" w:hint="eastAsia"/>
          <w:sz w:val="18"/>
        </w:rPr>
        <w:t>1102100197</w:t>
      </w:r>
      <w:r w:rsidRPr="00604A8E">
        <w:rPr>
          <w:rFonts w:ascii="Arial Unicode MS" w:hAnsi="Arial Unicode MS" w:hint="eastAsia"/>
          <w:sz w:val="18"/>
        </w:rPr>
        <w:t>號令修正發布</w:t>
      </w:r>
      <w:hyperlink w:anchor="a6" w:history="1">
        <w:r w:rsidRPr="00343CC3">
          <w:rPr>
            <w:rStyle w:val="a3"/>
            <w:rFonts w:ascii="Arial Unicode MS" w:hAnsi="Arial Unicode MS" w:hint="eastAsia"/>
            <w:sz w:val="18"/>
          </w:rPr>
          <w:t>第</w:t>
        </w:r>
        <w:r w:rsidRPr="00343CC3">
          <w:rPr>
            <w:rStyle w:val="a3"/>
            <w:rFonts w:ascii="Arial Unicode MS" w:hAnsi="Arial Unicode MS" w:hint="eastAsia"/>
            <w:sz w:val="18"/>
          </w:rPr>
          <w:t>6</w:t>
        </w:r>
        <w:r w:rsidRPr="00343CC3">
          <w:rPr>
            <w:rStyle w:val="a3"/>
            <w:rFonts w:ascii="Arial Unicode MS" w:hAnsi="Arial Unicode MS" w:hint="eastAsia"/>
            <w:sz w:val="18"/>
          </w:rPr>
          <w:t>點</w:t>
        </w:r>
      </w:hyperlink>
      <w:r w:rsidRPr="00604A8E">
        <w:rPr>
          <w:rFonts w:ascii="Arial Unicode MS" w:hAnsi="Arial Unicode MS" w:hint="eastAsia"/>
          <w:sz w:val="18"/>
        </w:rPr>
        <w:t>條文及第</w:t>
      </w:r>
      <w:hyperlink w:anchor="a2" w:history="1">
        <w:r w:rsidRPr="00343CC3">
          <w:rPr>
            <w:rStyle w:val="a3"/>
            <w:rFonts w:ascii="Arial Unicode MS" w:hAnsi="Arial Unicode MS" w:hint="eastAsia"/>
            <w:sz w:val="18"/>
          </w:rPr>
          <w:t>2</w:t>
        </w:r>
      </w:hyperlink>
      <w:r w:rsidRPr="00604A8E">
        <w:rPr>
          <w:rFonts w:ascii="Arial Unicode MS" w:hAnsi="Arial Unicode MS" w:hint="eastAsia"/>
          <w:sz w:val="18"/>
        </w:rPr>
        <w:t>、</w:t>
      </w:r>
      <w:hyperlink w:anchor="a3" w:history="1">
        <w:r w:rsidRPr="00343CC3">
          <w:rPr>
            <w:rStyle w:val="a3"/>
            <w:rFonts w:ascii="Arial Unicode MS" w:hAnsi="Arial Unicode MS" w:hint="eastAsia"/>
            <w:sz w:val="18"/>
          </w:rPr>
          <w:t>3</w:t>
        </w:r>
      </w:hyperlink>
      <w:r w:rsidRPr="00604A8E">
        <w:rPr>
          <w:rFonts w:ascii="Arial Unicode MS" w:hAnsi="Arial Unicode MS" w:hint="eastAsia"/>
          <w:sz w:val="18"/>
        </w:rPr>
        <w:t>點條文之附表；並自即日生效</w:t>
      </w:r>
    </w:p>
    <w:p w14:paraId="1A476045" w14:textId="12466646" w:rsidR="00EC7AEC" w:rsidRPr="000A59EA" w:rsidRDefault="00EC7AEC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3F44E659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法規內容</w:t>
      </w:r>
      <w:r w:rsidRPr="005D6F38">
        <w:rPr>
          <w:color w:val="990000"/>
        </w:rPr>
        <w:t>】</w:t>
      </w:r>
    </w:p>
    <w:p w14:paraId="0064B0D0" w14:textId="77777777" w:rsidR="00343CC3" w:rsidRDefault="00343CC3" w:rsidP="00343CC3">
      <w:pPr>
        <w:pStyle w:val="2"/>
        <w:rPr>
          <w:kern w:val="0"/>
          <w:szCs w:val="36"/>
        </w:rPr>
      </w:pPr>
      <w:bookmarkStart w:id="1" w:name="a1"/>
      <w:bookmarkEnd w:id="1"/>
      <w:r>
        <w:t>第</w:t>
      </w:r>
      <w:r>
        <w:t>1</w:t>
      </w:r>
      <w:r>
        <w:t>點</w:t>
      </w:r>
    </w:p>
    <w:p w14:paraId="38D8B983" w14:textId="29C36C5B" w:rsidR="00343CC3" w:rsidRDefault="00343CC3" w:rsidP="00343CC3">
      <w:pPr>
        <w:ind w:left="142"/>
      </w:pPr>
      <w:r>
        <w:t xml:space="preserve">　　依據行政罰法</w:t>
      </w:r>
      <w:r w:rsidR="000A59EA">
        <w:t>第</w:t>
      </w:r>
      <w:hyperlink r:id="rId14" w:anchor="a18" w:history="1">
        <w:r w:rsidR="000A59EA" w:rsidRPr="00A36710">
          <w:rPr>
            <w:rStyle w:val="a3"/>
            <w:rFonts w:ascii="Times New Roman" w:hAnsi="Times New Roman"/>
          </w:rPr>
          <w:t>十八</w:t>
        </w:r>
      </w:hyperlink>
      <w:r w:rsidR="000A59EA">
        <w:t>條</w:t>
      </w:r>
      <w:r>
        <w:t>第一項規定，裁處罰鍰，應審酌違反行政法上義務行為應受責難程度、所生影響及因違反行政法上義務所得之利益，並得考量受處罰者之資力，為使主管機關於執行違反傳染病防治法第</w:t>
      </w:r>
      <w:hyperlink r:id="rId15" w:anchor="c58" w:history="1">
        <w:r w:rsidRPr="000A59EA">
          <w:rPr>
            <w:rStyle w:val="a3"/>
            <w:rFonts w:ascii="Times New Roman" w:hAnsi="Times New Roman"/>
          </w:rPr>
          <w:t>五十八</w:t>
        </w:r>
      </w:hyperlink>
      <w:r>
        <w:t>條第一項第二款、第三款及第三項規定所為之檢疫措施案件，裁處符合比例原則，特訂定本基準</w:t>
      </w:r>
      <w:r>
        <w:t>。</w:t>
      </w:r>
    </w:p>
    <w:p w14:paraId="78B10EC5" w14:textId="77777777" w:rsidR="00343CC3" w:rsidRDefault="00343CC3" w:rsidP="00343CC3">
      <w:pPr>
        <w:pStyle w:val="2"/>
      </w:pPr>
      <w:bookmarkStart w:id="2" w:name="a2"/>
      <w:bookmarkEnd w:id="2"/>
      <w:r>
        <w:t>第</w:t>
      </w:r>
      <w:r>
        <w:t>2</w:t>
      </w:r>
      <w:r>
        <w:t>點</w:t>
      </w:r>
    </w:p>
    <w:p w14:paraId="6F15DE38" w14:textId="087451A8" w:rsidR="00343CC3" w:rsidRDefault="00343CC3" w:rsidP="00343CC3">
      <w:pPr>
        <w:ind w:left="142"/>
      </w:pPr>
      <w:r>
        <w:t xml:space="preserve">　　違反本法規定者，依</w:t>
      </w:r>
      <w:hyperlink r:id="rId16" w:history="1">
        <w:r w:rsidRPr="000A59EA">
          <w:rPr>
            <w:rStyle w:val="a3"/>
            <w:rFonts w:ascii="Times New Roman" w:hAnsi="Times New Roman"/>
          </w:rPr>
          <w:t>附表</w:t>
        </w:r>
      </w:hyperlink>
      <w:r>
        <w:t>所列情事裁處之</w:t>
      </w:r>
      <w:r>
        <w:t>。</w:t>
      </w:r>
    </w:p>
    <w:p w14:paraId="340299C4" w14:textId="77777777" w:rsidR="00343CC3" w:rsidRDefault="00343CC3" w:rsidP="00343CC3">
      <w:pPr>
        <w:pStyle w:val="2"/>
      </w:pPr>
      <w:bookmarkStart w:id="3" w:name="a3"/>
      <w:bookmarkEnd w:id="3"/>
      <w:r>
        <w:t>第</w:t>
      </w:r>
      <w:r>
        <w:t>3</w:t>
      </w:r>
      <w:r>
        <w:t>點</w:t>
      </w:r>
    </w:p>
    <w:p w14:paraId="1E2C6A78" w14:textId="3ABDB3E4" w:rsidR="00343CC3" w:rsidRDefault="00343CC3" w:rsidP="00343CC3">
      <w:pPr>
        <w:ind w:left="142"/>
      </w:pPr>
      <w:r>
        <w:t xml:space="preserve">　　行為違反本法數個規定，應依法定罰鍰額度最高之規定及</w:t>
      </w:r>
      <w:hyperlink r:id="rId17" w:history="1">
        <w:r w:rsidR="00143108" w:rsidRPr="000A59EA">
          <w:rPr>
            <w:rStyle w:val="a3"/>
            <w:rFonts w:ascii="Times New Roman" w:hAnsi="Times New Roman"/>
          </w:rPr>
          <w:t>附表</w:t>
        </w:r>
      </w:hyperlink>
      <w:r>
        <w:t>所列情事計算罰鍰額度裁處之</w:t>
      </w:r>
      <w:r>
        <w:t>。</w:t>
      </w:r>
    </w:p>
    <w:p w14:paraId="270DDFD5" w14:textId="77777777" w:rsidR="00343CC3" w:rsidRDefault="00343CC3" w:rsidP="00343CC3">
      <w:pPr>
        <w:pStyle w:val="2"/>
      </w:pPr>
      <w:bookmarkStart w:id="4" w:name="a4"/>
      <w:bookmarkEnd w:id="4"/>
      <w:r>
        <w:t>第</w:t>
      </w:r>
      <w:r>
        <w:t>4</w:t>
      </w:r>
      <w:r>
        <w:t>點</w:t>
      </w:r>
    </w:p>
    <w:p w14:paraId="188640B7" w14:textId="5305C7FC" w:rsidR="00343CC3" w:rsidRDefault="00343CC3" w:rsidP="00343CC3">
      <w:pPr>
        <w:ind w:left="142"/>
      </w:pPr>
      <w:r>
        <w:t xml:space="preserve">　　依本基準計算之罰鍰逾該法定罰鍰最高額者，以該法定罰鍰最高額裁處之</w:t>
      </w:r>
      <w:r>
        <w:t>。</w:t>
      </w:r>
    </w:p>
    <w:p w14:paraId="65355F82" w14:textId="77777777" w:rsidR="00343CC3" w:rsidRDefault="00343CC3" w:rsidP="00343CC3">
      <w:pPr>
        <w:pStyle w:val="2"/>
      </w:pPr>
      <w:bookmarkStart w:id="5" w:name="a5"/>
      <w:bookmarkEnd w:id="5"/>
      <w:r>
        <w:t>第</w:t>
      </w:r>
      <w:r>
        <w:t>5</w:t>
      </w:r>
      <w:r>
        <w:t>點</w:t>
      </w:r>
    </w:p>
    <w:p w14:paraId="1014BCFE" w14:textId="67D5FAE4" w:rsidR="00343CC3" w:rsidRDefault="00343CC3" w:rsidP="00343CC3">
      <w:pPr>
        <w:ind w:left="142"/>
      </w:pPr>
      <w:r>
        <w:t xml:space="preserve">　　違規案件依本基準裁罰如有顯失衡平之情事，得斟酌個案情形，並敘明理由，依</w:t>
      </w:r>
      <w:hyperlink r:id="rId18" w:history="1">
        <w:r w:rsidRPr="00E74176">
          <w:rPr>
            <w:rStyle w:val="a3"/>
            <w:rFonts w:ascii="Times New Roman" w:hAnsi="Times New Roman"/>
          </w:rPr>
          <w:t>行政罰法</w:t>
        </w:r>
      </w:hyperlink>
      <w:r>
        <w:t>規定，酌予加重、減輕或免除處罰</w:t>
      </w:r>
      <w:r>
        <w:t>。</w:t>
      </w:r>
    </w:p>
    <w:p w14:paraId="061FC02E" w14:textId="66E348C2" w:rsidR="00343CC3" w:rsidRPr="00A546D5" w:rsidRDefault="00343CC3" w:rsidP="00343CC3">
      <w:pPr>
        <w:pStyle w:val="2"/>
        <w:rPr>
          <w:rStyle w:val="ad"/>
          <w:bCs/>
        </w:rPr>
      </w:pPr>
      <w:bookmarkStart w:id="6" w:name="a6"/>
      <w:bookmarkEnd w:id="6"/>
      <w:r w:rsidRPr="00343CC3">
        <w:rPr>
          <w:rStyle w:val="ad"/>
          <w:b/>
          <w:bCs/>
        </w:rPr>
        <w:t>第</w:t>
      </w:r>
      <w:r w:rsidRPr="00343CC3">
        <w:rPr>
          <w:rStyle w:val="ad"/>
          <w:b/>
          <w:bCs/>
        </w:rPr>
        <w:t>6</w:t>
      </w:r>
      <w:r w:rsidRPr="00343CC3">
        <w:rPr>
          <w:rStyle w:val="ad"/>
          <w:b/>
          <w:bCs/>
        </w:rPr>
        <w:t>點</w:t>
      </w:r>
      <w:r w:rsidR="00A546D5" w:rsidRPr="00A546D5">
        <w:rPr>
          <w:rStyle w:val="ad"/>
          <w:rFonts w:ascii="新細明體" w:hAnsi="新細明體" w:hint="eastAsia"/>
          <w:color w:val="FFFFFF" w:themeColor="background1"/>
        </w:rPr>
        <w:t>∵</w:t>
      </w:r>
    </w:p>
    <w:p w14:paraId="6AF52541" w14:textId="5CB0B71D" w:rsidR="00343CC3" w:rsidRDefault="00343CC3" w:rsidP="00343CC3">
      <w:pPr>
        <w:ind w:leftChars="75" w:left="150"/>
        <w:jc w:val="both"/>
      </w:pPr>
      <w:r>
        <w:rPr>
          <w:rFonts w:hint="eastAsia"/>
        </w:rPr>
        <w:t xml:space="preserve">　　違反者之罰鍰處分履行期原則統一定為二十天，惟經裁處新臺幣十萬元以上之罰鍰處分，其履行期為七天。履行期間內先由裁罰機關催繳，逾期未繳納者，即移送法務部行政執行署所屬行政執行分署執行之。</w:t>
      </w:r>
    </w:p>
    <w:p w14:paraId="645ED8A3" w14:textId="26ECD63A" w:rsidR="00343CC3" w:rsidRDefault="00A546D5" w:rsidP="00A546D5">
      <w:pPr>
        <w:pStyle w:val="3"/>
      </w:pPr>
      <w:r w:rsidRPr="00A22F73">
        <w:rPr>
          <w:rFonts w:hint="eastAsia"/>
        </w:rPr>
        <w:t>--1</w:t>
      </w:r>
      <w:r>
        <w:rPr>
          <w:rFonts w:hint="eastAsia"/>
        </w:rPr>
        <w:t>10</w:t>
      </w:r>
      <w:r w:rsidRPr="00A22F73">
        <w:rPr>
          <w:rFonts w:hint="eastAsia"/>
        </w:rPr>
        <w:t>年</w:t>
      </w:r>
      <w:r>
        <w:t>6</w:t>
      </w:r>
      <w:r w:rsidRPr="00A22F73">
        <w:rPr>
          <w:rFonts w:hint="eastAsia"/>
        </w:rPr>
        <w:t>月</w:t>
      </w:r>
      <w:r>
        <w:t>2</w:t>
      </w:r>
      <w:r>
        <w:t>5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19" w:history="1">
        <w:r w:rsidRPr="00A22F73">
          <w:rPr>
            <w:rStyle w:val="a3"/>
          </w:rPr>
          <w:t>比對程式</w:t>
        </w:r>
      </w:hyperlink>
    </w:p>
    <w:p w14:paraId="5BC8C014" w14:textId="386B2493" w:rsidR="00343CC3" w:rsidRPr="00A546D5" w:rsidRDefault="00343CC3" w:rsidP="00343CC3">
      <w:pPr>
        <w:ind w:leftChars="75" w:left="150"/>
        <w:jc w:val="both"/>
        <w:rPr>
          <w:rFonts w:ascii="Arial Unicode MS" w:hAnsi="Arial Unicode MS"/>
          <w:color w:val="5F5F5F"/>
        </w:rPr>
      </w:pPr>
      <w:r w:rsidRPr="00343CC3">
        <w:rPr>
          <w:color w:val="5F5F5F"/>
        </w:rPr>
        <w:t xml:space="preserve">　　違反者之罰鍰處分履行期原則統一定為二十天，履行期間內先由裁罰機關催繳，逾期未繳納者，即移送法務部行政執行署所屬行政執行分署執行之。</w:t>
      </w:r>
      <w:r w:rsidR="00A546D5" w:rsidRPr="00A546D5">
        <w:rPr>
          <w:rFonts w:ascii="新細明體" w:hAnsi="新細明體" w:hint="eastAsia"/>
          <w:color w:val="FFFFFF" w:themeColor="background1"/>
        </w:rPr>
        <w:t>∴</w:t>
      </w:r>
    </w:p>
    <w:p w14:paraId="3F7DADB6" w14:textId="77777777" w:rsidR="00343CC3" w:rsidRDefault="00343CC3" w:rsidP="00DE6B3B">
      <w:pPr>
        <w:ind w:leftChars="75" w:left="150"/>
        <w:jc w:val="both"/>
        <w:rPr>
          <w:rFonts w:ascii="Arial Unicode MS" w:hAnsi="Arial Unicode MS"/>
        </w:rPr>
      </w:pPr>
    </w:p>
    <w:p w14:paraId="09CBD72C" w14:textId="77777777" w:rsidR="00EC7AEC" w:rsidRPr="001C7001" w:rsidRDefault="00EC7AEC" w:rsidP="00DE6B3B">
      <w:pPr>
        <w:ind w:leftChars="75" w:left="150"/>
        <w:jc w:val="both"/>
        <w:rPr>
          <w:rFonts w:ascii="Arial Unicode MS" w:hAnsi="Arial Unicode MS"/>
        </w:rPr>
      </w:pPr>
    </w:p>
    <w:p w14:paraId="36A16CE1" w14:textId="77777777" w:rsidR="000142DD" w:rsidRPr="00C1655B" w:rsidRDefault="000142DD" w:rsidP="000142DD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hint="eastAsia"/>
            <w:sz w:val="18"/>
          </w:rPr>
          <w:t>回首頁</w:t>
        </w:r>
      </w:hyperlink>
      <w:r w:rsidRPr="00C02977">
        <w:rPr>
          <w:rStyle w:val="a3"/>
          <w:rFonts w:hint="eastAsia"/>
          <w:b/>
          <w:sz w:val="18"/>
          <w:u w:val="none"/>
        </w:rPr>
        <w:t>〉〉</w:t>
      </w:r>
    </w:p>
    <w:p w14:paraId="037211D2" w14:textId="3091975D" w:rsidR="0045425A" w:rsidRPr="000142DD" w:rsidRDefault="000142DD" w:rsidP="000142DD">
      <w:pPr>
        <w:ind w:leftChars="71" w:left="142"/>
        <w:jc w:val="both"/>
        <w:rPr>
          <w:rFonts w:ascii="Arial Unicode MS" w:hAnsi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【編註】本檔法規</w:t>
      </w:r>
      <w:r w:rsidRPr="00C93F27">
        <w:rPr>
          <w:rFonts w:hint="eastAsia"/>
          <w:color w:val="5F5F5F"/>
          <w:sz w:val="18"/>
          <w:szCs w:val="18"/>
        </w:rPr>
        <w:t>資料來源為</w:t>
      </w:r>
      <w:r w:rsidRPr="00C93F27">
        <w:rPr>
          <w:rFonts w:hint="eastAsia"/>
          <w:color w:val="5F5F5F"/>
          <w:sz w:val="18"/>
          <w:szCs w:val="18"/>
          <w:lang w:eastAsia="zh-HK"/>
        </w:rPr>
        <w:t>官方</w:t>
      </w:r>
      <w:r w:rsidRPr="00C93F27">
        <w:rPr>
          <w:rFonts w:hint="eastAsia"/>
          <w:color w:val="5F5F5F"/>
          <w:sz w:val="18"/>
          <w:szCs w:val="18"/>
        </w:rPr>
        <w:t>資訊網，</w:t>
      </w:r>
      <w:r w:rsidRPr="00C93F27">
        <w:rPr>
          <w:rFonts w:ascii="Arial Unicode MS" w:hAnsi="Arial Unicode MS" w:hint="eastAsia"/>
          <w:color w:val="5F5F5F"/>
          <w:sz w:val="18"/>
          <w:szCs w:val="18"/>
        </w:rPr>
        <w:t>提供學習與參考為原則</w:t>
      </w:r>
      <w:r w:rsidRPr="00C93F27">
        <w:rPr>
          <w:rFonts w:hint="eastAsia"/>
          <w:color w:val="5F5F5F"/>
          <w:sz w:val="18"/>
          <w:szCs w:val="18"/>
        </w:rPr>
        <w:t>，如需引用</w:t>
      </w:r>
      <w:r w:rsidRPr="003D460F">
        <w:rPr>
          <w:rFonts w:hint="eastAsia"/>
          <w:color w:val="5F5F5F"/>
          <w:sz w:val="18"/>
          <w:szCs w:val="18"/>
        </w:rPr>
        <w:t>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0" w:history="1">
        <w:r w:rsidRPr="00D2412B">
          <w:rPr>
            <w:rStyle w:val="a3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45425A" w:rsidRPr="000142DD">
      <w:footerReference w:type="even" r:id="rId21"/>
      <w:footerReference w:type="default" r:id="rId22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7912" w14:textId="77777777" w:rsidR="009F0E1F" w:rsidRDefault="009F0E1F">
      <w:r>
        <w:separator/>
      </w:r>
    </w:p>
  </w:endnote>
  <w:endnote w:type="continuationSeparator" w:id="0">
    <w:p w14:paraId="52A1415F" w14:textId="77777777" w:rsidR="009F0E1F" w:rsidRDefault="009F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F4BF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2E2639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F44B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4247">
      <w:rPr>
        <w:rStyle w:val="a7"/>
        <w:noProof/>
      </w:rPr>
      <w:t>1</w:t>
    </w:r>
    <w:r>
      <w:rPr>
        <w:rStyle w:val="a7"/>
      </w:rPr>
      <w:fldChar w:fldCharType="end"/>
    </w:r>
  </w:p>
  <w:p w14:paraId="3D7CC188" w14:textId="0ED9B34F" w:rsidR="008013F3" w:rsidRPr="00464EE7" w:rsidRDefault="003A7CC8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A546D5" w:rsidRPr="00A546D5">
      <w:rPr>
        <w:rFonts w:ascii="Arial Unicode MS" w:hAnsi="Arial Unicode MS" w:hint="eastAsia"/>
        <w:sz w:val="18"/>
      </w:rPr>
      <w:t>違反傳染病防治法第五十八條第一項第二款、第三款及第三項規定所為之檢疫措施案件裁罰基準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F96C" w14:textId="77777777" w:rsidR="009F0E1F" w:rsidRDefault="009F0E1F">
      <w:r>
        <w:separator/>
      </w:r>
    </w:p>
  </w:footnote>
  <w:footnote w:type="continuationSeparator" w:id="0">
    <w:p w14:paraId="4AAD93EC" w14:textId="77777777" w:rsidR="009F0E1F" w:rsidRDefault="009F0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05D9A"/>
    <w:rsid w:val="000142DD"/>
    <w:rsid w:val="00041D68"/>
    <w:rsid w:val="000509F5"/>
    <w:rsid w:val="00053EB3"/>
    <w:rsid w:val="00075E1C"/>
    <w:rsid w:val="0009406C"/>
    <w:rsid w:val="000A5999"/>
    <w:rsid w:val="000A59EA"/>
    <w:rsid w:val="000E00FA"/>
    <w:rsid w:val="00104FBB"/>
    <w:rsid w:val="00130933"/>
    <w:rsid w:val="00143108"/>
    <w:rsid w:val="001605C6"/>
    <w:rsid w:val="00187602"/>
    <w:rsid w:val="001A426A"/>
    <w:rsid w:val="001C7001"/>
    <w:rsid w:val="001D50AD"/>
    <w:rsid w:val="001E23A9"/>
    <w:rsid w:val="00206429"/>
    <w:rsid w:val="00242C0C"/>
    <w:rsid w:val="00254FCB"/>
    <w:rsid w:val="00277BB9"/>
    <w:rsid w:val="002844B5"/>
    <w:rsid w:val="0028452A"/>
    <w:rsid w:val="002A6178"/>
    <w:rsid w:val="00301DD2"/>
    <w:rsid w:val="00306BFD"/>
    <w:rsid w:val="00343CC3"/>
    <w:rsid w:val="00372655"/>
    <w:rsid w:val="00376F50"/>
    <w:rsid w:val="003A1CEA"/>
    <w:rsid w:val="003A7CC8"/>
    <w:rsid w:val="00451727"/>
    <w:rsid w:val="0045425A"/>
    <w:rsid w:val="00464EE7"/>
    <w:rsid w:val="004730F3"/>
    <w:rsid w:val="004A6E50"/>
    <w:rsid w:val="004B0859"/>
    <w:rsid w:val="004D0FA1"/>
    <w:rsid w:val="004E2FEA"/>
    <w:rsid w:val="004E6452"/>
    <w:rsid w:val="004F1825"/>
    <w:rsid w:val="004F7BAA"/>
    <w:rsid w:val="00516FD2"/>
    <w:rsid w:val="00520F8A"/>
    <w:rsid w:val="005459E1"/>
    <w:rsid w:val="0056107E"/>
    <w:rsid w:val="005C483E"/>
    <w:rsid w:val="005D2C95"/>
    <w:rsid w:val="005D6F38"/>
    <w:rsid w:val="005E0DDB"/>
    <w:rsid w:val="005E12A5"/>
    <w:rsid w:val="00604A8E"/>
    <w:rsid w:val="00613FB8"/>
    <w:rsid w:val="00616222"/>
    <w:rsid w:val="00621776"/>
    <w:rsid w:val="006312B1"/>
    <w:rsid w:val="00654586"/>
    <w:rsid w:val="0067282D"/>
    <w:rsid w:val="006B79B3"/>
    <w:rsid w:val="006C53DB"/>
    <w:rsid w:val="006E4464"/>
    <w:rsid w:val="006E6E00"/>
    <w:rsid w:val="006E7FE9"/>
    <w:rsid w:val="00712B5C"/>
    <w:rsid w:val="0072241A"/>
    <w:rsid w:val="00732E57"/>
    <w:rsid w:val="0074183A"/>
    <w:rsid w:val="00765234"/>
    <w:rsid w:val="007A2583"/>
    <w:rsid w:val="007B59EF"/>
    <w:rsid w:val="007C0C46"/>
    <w:rsid w:val="007D1CB6"/>
    <w:rsid w:val="007D5904"/>
    <w:rsid w:val="007F4C46"/>
    <w:rsid w:val="008013F3"/>
    <w:rsid w:val="008117F1"/>
    <w:rsid w:val="00815831"/>
    <w:rsid w:val="00816028"/>
    <w:rsid w:val="00816704"/>
    <w:rsid w:val="00831AE4"/>
    <w:rsid w:val="00844322"/>
    <w:rsid w:val="00857E9D"/>
    <w:rsid w:val="0088014C"/>
    <w:rsid w:val="00894B45"/>
    <w:rsid w:val="008B621F"/>
    <w:rsid w:val="00900A10"/>
    <w:rsid w:val="00907274"/>
    <w:rsid w:val="009202EB"/>
    <w:rsid w:val="00921698"/>
    <w:rsid w:val="00967AED"/>
    <w:rsid w:val="00997067"/>
    <w:rsid w:val="009F0E1F"/>
    <w:rsid w:val="00A05A00"/>
    <w:rsid w:val="00A536D6"/>
    <w:rsid w:val="00A546D5"/>
    <w:rsid w:val="00A6506B"/>
    <w:rsid w:val="00A751F9"/>
    <w:rsid w:val="00A86EFB"/>
    <w:rsid w:val="00AB72F0"/>
    <w:rsid w:val="00AC37D9"/>
    <w:rsid w:val="00AE1199"/>
    <w:rsid w:val="00B045DE"/>
    <w:rsid w:val="00B14DE7"/>
    <w:rsid w:val="00B16ABD"/>
    <w:rsid w:val="00BB5F81"/>
    <w:rsid w:val="00BD34CC"/>
    <w:rsid w:val="00BE25FF"/>
    <w:rsid w:val="00BF4907"/>
    <w:rsid w:val="00BF5191"/>
    <w:rsid w:val="00C10BFF"/>
    <w:rsid w:val="00C348DE"/>
    <w:rsid w:val="00C66622"/>
    <w:rsid w:val="00C93F27"/>
    <w:rsid w:val="00D123D7"/>
    <w:rsid w:val="00D26DE0"/>
    <w:rsid w:val="00D73296"/>
    <w:rsid w:val="00D97A3E"/>
    <w:rsid w:val="00DE5DA3"/>
    <w:rsid w:val="00DE6B3B"/>
    <w:rsid w:val="00E205E8"/>
    <w:rsid w:val="00E24D45"/>
    <w:rsid w:val="00E42D32"/>
    <w:rsid w:val="00E74176"/>
    <w:rsid w:val="00E9238C"/>
    <w:rsid w:val="00EB27D6"/>
    <w:rsid w:val="00EC6E54"/>
    <w:rsid w:val="00EC7AEC"/>
    <w:rsid w:val="00EE484E"/>
    <w:rsid w:val="00EF3193"/>
    <w:rsid w:val="00F203C4"/>
    <w:rsid w:val="00F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38F98"/>
  <w15:docId w15:val="{5849A381-0AD2-4188-BD6E-B61AE0C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43CC3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343CC3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E42D32"/>
    <w:rPr>
      <w:color w:val="605E5C"/>
      <w:shd w:val="clear" w:color="auto" w:fill="E1DFDD"/>
    </w:rPr>
  </w:style>
  <w:style w:type="character" w:styleId="ad">
    <w:name w:val="Strong"/>
    <w:basedOn w:val="a0"/>
    <w:qFormat/>
    <w:rsid w:val="00343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https://www.6laws.net/6law/law3/&#36949;&#21453;&#20659;&#26579;&#30149;&#38450;&#27835;&#27861;&#31532;&#20116;&#21313;&#20843;&#26781;&#31532;&#19968;&#38917;&#31532;&#20108;&#27454;&#12289;&#31532;&#19977;&#27454;&#21450;&#31532;&#19977;&#38917;&#35215;&#23450;&#25152;&#28858;&#20043;&#27298;&#30123;&#25514;&#26045;&#26696;&#20214;&#35009;&#32624;&#22522;&#28310;.htm" TargetMode="External"/><Relationship Id="rId18" Type="http://schemas.openxmlformats.org/officeDocument/2006/relationships/hyperlink" Target="../law/&#34892;&#25919;&#32624;&#27861;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../S-link&#20998;&#39006;&#27861;&#35215;&#32034;&#24341;02.docx" TargetMode="External"/><Relationship Id="rId17" Type="http://schemas.openxmlformats.org/officeDocument/2006/relationships/hyperlink" Target="../law2/&#36949;&#21453;&#20659;&#26579;&#30149;&#38450;&#27835;&#27861;&#31532;&#20116;&#21313;&#20843;&#26781;&#31532;&#19968;&#38917;&#31532;&#20108;&#27454;&#12289;&#31532;&#19977;&#27454;&#21450;&#31532;&#19977;&#38917;&#35215;&#23450;&#25152;&#28858;&#20043;&#27298;&#30123;&#25514;&#26045;&#26696;&#20214;&#35009;&#32624;&#22522;&#28310;&#38468;&#34920;.pdf" TargetMode="External"/><Relationship Id="rId2" Type="http://schemas.openxmlformats.org/officeDocument/2006/relationships/settings" Target="settings.xml"/><Relationship Id="rId16" Type="http://schemas.openxmlformats.org/officeDocument/2006/relationships/hyperlink" Target="../law2/&#36949;&#21453;&#20659;&#26579;&#30149;&#38450;&#27835;&#27861;&#31532;&#20116;&#21313;&#20843;&#26781;&#31532;&#19968;&#38917;&#31532;&#20108;&#27454;&#12289;&#31532;&#19977;&#27454;&#21450;&#31532;&#19977;&#38917;&#35215;&#23450;&#25152;&#28858;&#20043;&#27298;&#30123;&#25514;&#26045;&#26696;&#20214;&#35009;&#32624;&#22522;&#28310;&#38468;&#34920;.pdf" TargetMode="External"/><Relationship Id="rId20" Type="http://schemas.openxmlformats.org/officeDocument/2006/relationships/hyperlink" Target="https://www.6laws.net/comment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https://www.mohw.gov.tw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../law/&#20659;&#26579;&#30149;&#38450;&#27835;&#27861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anita6law" TargetMode="External"/><Relationship Id="rId19" Type="http://schemas.openxmlformats.org/officeDocument/2006/relationships/hyperlink" Target="../diff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hwlaw.mohw.gov.tw/FLAW/FLAWDAT07.aspx?lsid=FL095562" TargetMode="External"/><Relationship Id="rId14" Type="http://schemas.openxmlformats.org/officeDocument/2006/relationships/hyperlink" Target="../law/&#34892;&#25919;&#32624;&#27861;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違反傳染病防治法第五十八條第一項第二款、第三款及第三項規定所為之檢疫措施案件裁罰基準</dc:title>
  <dc:creator>S-link 電子六法-黃婉玲</dc:creator>
  <cp:lastModifiedBy>黃婉玲 S-link電子六法</cp:lastModifiedBy>
  <cp:revision>15</cp:revision>
  <dcterms:created xsi:type="dcterms:W3CDTF">2021-07-03T15:47:00Z</dcterms:created>
  <dcterms:modified xsi:type="dcterms:W3CDTF">2021-07-03T18:21:00Z</dcterms:modified>
</cp:coreProperties>
</file>