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BF6D4C">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EF3CD2">
        <w:rPr>
          <w:rFonts w:ascii="Arial Unicode MS" w:hAnsi="Arial Unicode MS"/>
          <w:color w:val="7F7F7F"/>
          <w:sz w:val="18"/>
          <w:szCs w:val="20"/>
        </w:rPr>
        <w:t>2016/6/7</w:t>
      </w:r>
      <w:r>
        <w:rPr>
          <w:rFonts w:hint="eastAsia"/>
          <w:color w:val="7F7F7F"/>
          <w:sz w:val="18"/>
          <w:szCs w:val="20"/>
          <w:lang w:val="zh-TW"/>
        </w:rPr>
        <w:t>【</w:t>
      </w:r>
      <w:hyperlink r:id="rId11" w:history="1">
        <w:r w:rsidRPr="00EF3CD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E102FD">
        <w:rPr>
          <w:color w:val="808000"/>
          <w:sz w:val="18"/>
          <w:szCs w:val="18"/>
        </w:rPr>
        <w:t>--&gt;</w:t>
      </w:r>
      <w:r w:rsidR="00E102FD">
        <w:rPr>
          <w:rFonts w:ascii="新細明體" w:cs="新細明體" w:hint="eastAsia"/>
          <w:color w:val="808000"/>
          <w:sz w:val="18"/>
          <w:szCs w:val="18"/>
        </w:rPr>
        <w:t>檢視</w:t>
      </w:r>
      <w:r w:rsidR="00E102FD">
        <w:rPr>
          <w:color w:val="808000"/>
          <w:sz w:val="18"/>
          <w:szCs w:val="18"/>
        </w:rPr>
        <w:t>--&gt;</w:t>
      </w:r>
      <w:r>
        <w:rPr>
          <w:rFonts w:hint="eastAsia"/>
          <w:color w:val="808000"/>
          <w:sz w:val="18"/>
          <w:szCs w:val="20"/>
        </w:rPr>
        <w:t>文件引導模式</w:t>
      </w:r>
      <w:r>
        <w:rPr>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CF2D69" w:rsidRPr="00C30980" w:rsidRDefault="00320C58" w:rsidP="004C53CF">
            <w:pPr>
              <w:jc w:val="center"/>
              <w:rPr>
                <w:rFonts w:ascii="新細明體" w:eastAsia="標楷體" w:hAnsi="新細明體"/>
                <w:bCs/>
                <w:shadow/>
                <w:sz w:val="28"/>
                <w:szCs w:val="28"/>
              </w:rPr>
            </w:pPr>
            <w:r w:rsidRPr="00320C58">
              <w:rPr>
                <w:rFonts w:ascii="新細明體" w:eastAsia="標楷體" w:hAnsi="新細明體" w:hint="eastAsia"/>
                <w:bCs/>
                <w:shadow/>
                <w:sz w:val="28"/>
                <w:szCs w:val="28"/>
              </w:rPr>
              <w:t>各級行政法院法官在職訓練及職前訓練辦法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151AC6" w:rsidRPr="00151AC6">
              <w:rPr>
                <w:rFonts w:ascii="Arial Unicode MS" w:hAnsi="Arial Unicode MS" w:hint="eastAsia"/>
              </w:rPr>
              <w:t>90</w:t>
            </w:r>
            <w:r w:rsidR="00151AC6">
              <w:rPr>
                <w:rFonts w:ascii="Arial Unicode MS" w:hAnsi="Arial Unicode MS" w:hint="eastAsia"/>
              </w:rPr>
              <w:t>.</w:t>
            </w:r>
            <w:r w:rsidR="00151AC6" w:rsidRPr="00151AC6">
              <w:rPr>
                <w:rFonts w:ascii="Arial Unicode MS" w:hAnsi="Arial Unicode MS" w:hint="eastAsia"/>
              </w:rPr>
              <w:t>05</w:t>
            </w:r>
            <w:r w:rsidR="00151AC6">
              <w:rPr>
                <w:rFonts w:ascii="Arial Unicode MS" w:hAnsi="Arial Unicode MS" w:hint="eastAsia"/>
              </w:rPr>
              <w:t>.</w:t>
            </w:r>
            <w:r w:rsidR="00151AC6" w:rsidRPr="00151AC6">
              <w:rPr>
                <w:rFonts w:ascii="Arial Unicode MS" w:hAnsi="Arial Unicode MS" w:hint="eastAsia"/>
              </w:rPr>
              <w:t>17</w:t>
            </w:r>
          </w:p>
          <w:p w:rsidR="00CF2D69" w:rsidRDefault="00CF2D69" w:rsidP="00704646">
            <w:r>
              <w:rPr>
                <w:rFonts w:ascii="新細明體" w:hAnsi="新細明體"/>
                <w:color w:val="000000"/>
              </w:rPr>
              <w:t>【公布機關】</w:t>
            </w:r>
            <w:r w:rsidR="00151AC6" w:rsidRPr="00151AC6">
              <w:rPr>
                <w:rFonts w:ascii="Arial Unicode MS" w:hAnsi="Arial Unicode MS" w:hint="eastAsia"/>
                <w:sz w:val="18"/>
              </w:rPr>
              <w:t>司法院</w:t>
            </w:r>
          </w:p>
        </w:tc>
      </w:tr>
    </w:tbl>
    <w:p w:rsidR="00392D6B" w:rsidRPr="006962E8" w:rsidRDefault="00E102FD" w:rsidP="00EF3CD2">
      <w:pPr>
        <w:jc w:val="center"/>
        <w:rPr>
          <w:rFonts w:ascii="新細明體" w:hAnsi="新細明體"/>
          <w:b/>
          <w:bCs/>
          <w:color w:val="800000"/>
        </w:rPr>
      </w:pPr>
      <w:r w:rsidRPr="00627C22">
        <w:rPr>
          <w:rFonts w:ascii="Arial Unicode MS" w:hAnsi="Arial Unicode MS" w:cs="新細明體" w:hint="eastAsia"/>
          <w:color w:val="FFFFFF"/>
          <w:sz w:val="18"/>
          <w:szCs w:val="18"/>
        </w:rPr>
        <w:t>☆</w:t>
      </w:r>
      <w:hyperlink r:id="rId15" w:anchor="各級行政法院法官在職訓練及職前訓練辦法" w:history="1">
        <w:r w:rsidRPr="009F5EE7">
          <w:rPr>
            <w:rStyle w:val="a3"/>
            <w:rFonts w:ascii="Arial Unicode MS" w:hAnsi="Arial Unicode MS" w:hint="eastAsia"/>
            <w:sz w:val="18"/>
          </w:rPr>
          <w:t>S-link</w:t>
        </w:r>
        <w:r w:rsidRPr="009F5EE7">
          <w:rPr>
            <w:rStyle w:val="a3"/>
            <w:rFonts w:ascii="Arial Unicode MS" w:hAnsi="Arial Unicode MS" w:hint="eastAsia"/>
            <w:sz w:val="18"/>
          </w:rPr>
          <w:t>索</w:t>
        </w:r>
        <w:r w:rsidRPr="009F5EE7">
          <w:rPr>
            <w:rStyle w:val="a3"/>
            <w:rFonts w:ascii="Arial Unicode MS" w:hAnsi="Arial Unicode MS" w:hint="eastAsia"/>
            <w:sz w:val="18"/>
          </w:rPr>
          <w:t>引</w:t>
        </w:r>
      </w:hyperlink>
      <w:r w:rsidRPr="009F5EE7">
        <w:rPr>
          <w:rFonts w:ascii="Arial Unicode MS" w:hAnsi="Arial Unicode MS" w:hint="eastAsia"/>
          <w:b/>
          <w:color w:val="5F5F5F"/>
          <w:sz w:val="18"/>
        </w:rPr>
        <w:t>&gt;&gt;</w:t>
      </w:r>
      <w:hyperlink r:id="rId16" w:tgtFrame="_blank" w:history="1">
        <w:r w:rsidRPr="009F5EE7">
          <w:rPr>
            <w:rStyle w:val="a3"/>
            <w:rFonts w:ascii="Arial Unicode MS" w:hAnsi="Arial Unicode MS" w:hint="eastAsia"/>
            <w:sz w:val="18"/>
          </w:rPr>
          <w:t>線上網頁版</w:t>
        </w:r>
      </w:hyperlink>
      <w:r w:rsidRPr="009F5EE7">
        <w:rPr>
          <w:rFonts w:ascii="Arial Unicode MS" w:hAnsi="Arial Unicode MS" w:hint="eastAsia"/>
          <w:b/>
          <w:color w:val="5F5F5F"/>
          <w:sz w:val="18"/>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151AC6" w:rsidRPr="00151AC6" w:rsidRDefault="00151AC6" w:rsidP="00151AC6">
      <w:pPr>
        <w:ind w:left="142"/>
        <w:jc w:val="both"/>
        <w:rPr>
          <w:rFonts w:ascii="Arial Unicode MS" w:hAnsi="Arial Unicode MS"/>
          <w:sz w:val="18"/>
        </w:rPr>
      </w:pPr>
      <w:r w:rsidRPr="00151AC6">
        <w:rPr>
          <w:rFonts w:ascii="Arial Unicode MS" w:hAnsi="Arial Unicode MS" w:hint="eastAsia"/>
          <w:b/>
          <w:sz w:val="18"/>
        </w:rPr>
        <w:t>1</w:t>
      </w:r>
      <w:r w:rsidRPr="00151AC6">
        <w:rPr>
          <w:rFonts w:ascii="Arial Unicode MS" w:hAnsi="Arial Unicode MS" w:hint="eastAsia"/>
          <w:b/>
          <w:sz w:val="18"/>
        </w:rPr>
        <w:t>‧</w:t>
      </w:r>
      <w:r w:rsidRPr="00151AC6">
        <w:rPr>
          <w:rFonts w:ascii="Arial Unicode MS" w:hAnsi="Arial Unicode MS" w:hint="eastAsia"/>
          <w:sz w:val="18"/>
        </w:rPr>
        <w:t>中華民國八十九年四月二十日司法院（</w:t>
      </w:r>
      <w:r w:rsidRPr="00151AC6">
        <w:rPr>
          <w:rFonts w:ascii="Arial Unicode MS" w:hAnsi="Arial Unicode MS" w:hint="eastAsia"/>
          <w:sz w:val="18"/>
        </w:rPr>
        <w:t>89</w:t>
      </w:r>
      <w:r w:rsidRPr="00151AC6">
        <w:rPr>
          <w:rFonts w:ascii="Arial Unicode MS" w:hAnsi="Arial Unicode MS" w:hint="eastAsia"/>
          <w:sz w:val="18"/>
        </w:rPr>
        <w:t>）院台廳行一字第</w:t>
      </w:r>
      <w:r w:rsidRPr="00151AC6">
        <w:rPr>
          <w:rFonts w:ascii="Arial Unicode MS" w:hAnsi="Arial Unicode MS" w:hint="eastAsia"/>
          <w:sz w:val="18"/>
        </w:rPr>
        <w:t>09626</w:t>
      </w:r>
      <w:r w:rsidRPr="00151AC6">
        <w:rPr>
          <w:rFonts w:ascii="Arial Unicode MS" w:hAnsi="Arial Unicode MS" w:hint="eastAsia"/>
          <w:sz w:val="18"/>
        </w:rPr>
        <w:t>號令訂定發布全文</w:t>
      </w:r>
      <w:r w:rsidRPr="00151AC6">
        <w:rPr>
          <w:rFonts w:ascii="Arial Unicode MS" w:hAnsi="Arial Unicode MS" w:hint="eastAsia"/>
          <w:sz w:val="18"/>
        </w:rPr>
        <w:t>13</w:t>
      </w:r>
      <w:r w:rsidRPr="00151AC6">
        <w:rPr>
          <w:rFonts w:ascii="Arial Unicode MS" w:hAnsi="Arial Unicode MS" w:hint="eastAsia"/>
          <w:sz w:val="18"/>
        </w:rPr>
        <w:t>條；並自八十九年七月一日起施行</w:t>
      </w:r>
    </w:p>
    <w:p w:rsidR="00151AC6" w:rsidRPr="00151AC6" w:rsidRDefault="00151AC6" w:rsidP="00151AC6">
      <w:pPr>
        <w:ind w:left="142"/>
        <w:jc w:val="both"/>
        <w:rPr>
          <w:rFonts w:ascii="Arial Unicode MS" w:hAnsi="Arial Unicode MS"/>
          <w:sz w:val="18"/>
        </w:rPr>
      </w:pPr>
      <w:r w:rsidRPr="00151AC6">
        <w:rPr>
          <w:rFonts w:ascii="Arial Unicode MS" w:hAnsi="Arial Unicode MS" w:hint="eastAsia"/>
          <w:b/>
          <w:sz w:val="18"/>
        </w:rPr>
        <w:t>2</w:t>
      </w:r>
      <w:r w:rsidRPr="00151AC6">
        <w:rPr>
          <w:rFonts w:ascii="Arial Unicode MS" w:hAnsi="Arial Unicode MS" w:hint="eastAsia"/>
          <w:b/>
          <w:sz w:val="18"/>
        </w:rPr>
        <w:t>‧</w:t>
      </w:r>
      <w:r w:rsidRPr="00151AC6">
        <w:rPr>
          <w:rFonts w:ascii="Arial Unicode MS" w:hAnsi="Arial Unicode MS" w:hint="eastAsia"/>
          <w:sz w:val="18"/>
        </w:rPr>
        <w:t>中華民國九十年五月十七日司法院（</w:t>
      </w:r>
      <w:r w:rsidRPr="00151AC6">
        <w:rPr>
          <w:rFonts w:ascii="Arial Unicode MS" w:hAnsi="Arial Unicode MS" w:hint="eastAsia"/>
          <w:sz w:val="18"/>
        </w:rPr>
        <w:t>90</w:t>
      </w:r>
      <w:r w:rsidRPr="00151AC6">
        <w:rPr>
          <w:rFonts w:ascii="Arial Unicode MS" w:hAnsi="Arial Unicode MS" w:hint="eastAsia"/>
          <w:sz w:val="18"/>
        </w:rPr>
        <w:t>）院台廳行一字第</w:t>
      </w:r>
      <w:r w:rsidRPr="00151AC6">
        <w:rPr>
          <w:rFonts w:ascii="Arial Unicode MS" w:hAnsi="Arial Unicode MS" w:hint="eastAsia"/>
          <w:sz w:val="18"/>
        </w:rPr>
        <w:t>12353</w:t>
      </w:r>
      <w:r w:rsidRPr="00151AC6">
        <w:rPr>
          <w:rFonts w:ascii="Arial Unicode MS" w:hAnsi="Arial Unicode MS" w:hint="eastAsia"/>
          <w:sz w:val="18"/>
        </w:rPr>
        <w:t>號令修正發布第</w:t>
      </w:r>
      <w:r w:rsidRPr="00151AC6">
        <w:rPr>
          <w:rFonts w:ascii="Arial Unicode MS" w:hAnsi="Arial Unicode MS" w:hint="eastAsia"/>
          <w:sz w:val="18"/>
        </w:rPr>
        <w:t>10</w:t>
      </w:r>
      <w:r w:rsidRPr="00151AC6">
        <w:rPr>
          <w:rFonts w:ascii="Arial Unicode MS" w:hAnsi="Arial Unicode MS" w:hint="eastAsia"/>
          <w:sz w:val="18"/>
        </w:rPr>
        <w:t>、</w:t>
      </w:r>
      <w:r w:rsidRPr="00151AC6">
        <w:rPr>
          <w:rFonts w:ascii="Arial Unicode MS" w:hAnsi="Arial Unicode MS" w:hint="eastAsia"/>
          <w:sz w:val="18"/>
        </w:rPr>
        <w:t>13</w:t>
      </w:r>
      <w:r w:rsidRPr="00151AC6">
        <w:rPr>
          <w:rFonts w:ascii="Arial Unicode MS" w:hAnsi="Arial Unicode MS" w:hint="eastAsia"/>
          <w:sz w:val="18"/>
        </w:rPr>
        <w:t>條條文</w:t>
      </w:r>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6712A6" w:rsidRPr="002B5901" w:rsidRDefault="00B861AD" w:rsidP="002B5901">
      <w:pPr>
        <w:pStyle w:val="2"/>
      </w:pPr>
      <w:r w:rsidRPr="002B5901">
        <w:rPr>
          <w:rFonts w:hint="eastAsia"/>
        </w:rPr>
        <w:t>第</w:t>
      </w:r>
      <w:r w:rsidRPr="002B5901">
        <w:rPr>
          <w:rFonts w:hint="eastAsia"/>
        </w:rPr>
        <w:t>1</w:t>
      </w:r>
      <w:r w:rsidRPr="002B5901">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本辦法依行政法院組織法第</w:t>
      </w:r>
      <w:hyperlink r:id="rId17" w:anchor="a17" w:history="1">
        <w:r w:rsidRPr="00A73AD9">
          <w:rPr>
            <w:rStyle w:val="a3"/>
            <w:rFonts w:ascii="Arial Unicode MS" w:hAnsi="Arial Unicode MS" w:hint="eastAsia"/>
          </w:rPr>
          <w:t>十七</w:t>
        </w:r>
      </w:hyperlink>
      <w:r w:rsidRPr="00151AC6">
        <w:rPr>
          <w:rFonts w:ascii="Arial Unicode MS" w:hAnsi="Arial Unicode MS" w:hint="eastAsia"/>
        </w:rPr>
        <w:t>條第二項、第三項及第</w:t>
      </w:r>
      <w:hyperlink r:id="rId18" w:anchor="a18" w:history="1">
        <w:r w:rsidRPr="00A73AD9">
          <w:rPr>
            <w:rStyle w:val="a3"/>
            <w:rFonts w:ascii="Arial Unicode MS" w:hAnsi="Arial Unicode MS" w:hint="eastAsia"/>
          </w:rPr>
          <w:t>十八</w:t>
        </w:r>
      </w:hyperlink>
      <w:r w:rsidRPr="00151AC6">
        <w:rPr>
          <w:rFonts w:ascii="Arial Unicode MS" w:hAnsi="Arial Unicode MS" w:hint="eastAsia"/>
        </w:rPr>
        <w:t>條第二項、第三項規定訂定之。</w:t>
      </w:r>
    </w:p>
    <w:p w:rsidR="00151AC6" w:rsidRPr="00451F3F" w:rsidRDefault="00151AC6" w:rsidP="00151AC6">
      <w:pPr>
        <w:ind w:left="142"/>
        <w:jc w:val="both"/>
        <w:rPr>
          <w:rFonts w:ascii="Arial Unicode MS" w:hAnsi="Arial Unicode MS"/>
          <w:color w:val="17365D"/>
        </w:rPr>
      </w:pPr>
      <w:r w:rsidRPr="00451F3F">
        <w:rPr>
          <w:rFonts w:ascii="Arial Unicode MS" w:hAnsi="Arial Unicode MS" w:hint="eastAsia"/>
          <w:color w:val="17365D"/>
        </w:rPr>
        <w:t xml:space="preserve">　　本辦法未規定之事項，適用其他法令之規定。</w:t>
      </w:r>
    </w:p>
    <w:p w:rsidR="00151AC6" w:rsidRPr="00151AC6" w:rsidRDefault="00151AC6" w:rsidP="00151AC6">
      <w:pPr>
        <w:pStyle w:val="2"/>
      </w:pPr>
      <w:r w:rsidRPr="00151AC6">
        <w:rPr>
          <w:rFonts w:hint="eastAsia"/>
        </w:rPr>
        <w:t>第</w:t>
      </w:r>
      <w:r w:rsidRPr="00151AC6">
        <w:rPr>
          <w:rFonts w:hint="eastAsia"/>
        </w:rPr>
        <w:t>2</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經遴選改任行政法院法官之人員，其在職訓練期間不得少於三個月；經甄試審查合格之人員，其職前訓練期間不得少於六個月。</w:t>
      </w:r>
    </w:p>
    <w:p w:rsidR="00151AC6" w:rsidRPr="00451F3F" w:rsidRDefault="00151AC6" w:rsidP="00151AC6">
      <w:pPr>
        <w:ind w:left="142"/>
        <w:jc w:val="both"/>
        <w:rPr>
          <w:rFonts w:ascii="Arial Unicode MS" w:hAnsi="Arial Unicode MS"/>
          <w:color w:val="17365D"/>
        </w:rPr>
      </w:pPr>
      <w:r w:rsidRPr="00451F3F">
        <w:rPr>
          <w:rFonts w:ascii="Arial Unicode MS" w:hAnsi="Arial Unicode MS" w:hint="eastAsia"/>
          <w:color w:val="17365D"/>
        </w:rPr>
        <w:t xml:space="preserve">　　前項訓練分理論課程與實務課程二階段實施，理論課程由司法院舉辦，應向司法院辦理報到手續；實務課程由司法院委由最高行政法院或高等行政法院為之，應向各該訓練之行政法院辦理報到手續。</w:t>
      </w:r>
    </w:p>
    <w:p w:rsidR="00151AC6" w:rsidRPr="00151AC6" w:rsidRDefault="00151AC6" w:rsidP="00151AC6">
      <w:pPr>
        <w:pStyle w:val="2"/>
      </w:pPr>
      <w:r w:rsidRPr="00151AC6">
        <w:rPr>
          <w:rFonts w:hint="eastAsia"/>
        </w:rPr>
        <w:t>第</w:t>
      </w:r>
      <w:r w:rsidRPr="00151AC6">
        <w:rPr>
          <w:rFonts w:hint="eastAsia"/>
        </w:rPr>
        <w:t>3</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經遴選改任或甄試審查合格為高等行政法院法官之人員，由最高行政法院或高等行政法院施以實務課程之訓練。</w:t>
      </w:r>
    </w:p>
    <w:p w:rsidR="00151AC6" w:rsidRPr="00451F3F" w:rsidRDefault="00151AC6" w:rsidP="00151AC6">
      <w:pPr>
        <w:ind w:left="142"/>
        <w:jc w:val="both"/>
        <w:rPr>
          <w:rFonts w:ascii="Arial Unicode MS" w:hAnsi="Arial Unicode MS"/>
          <w:color w:val="17365D"/>
        </w:rPr>
      </w:pPr>
      <w:r w:rsidRPr="00451F3F">
        <w:rPr>
          <w:rFonts w:ascii="Arial Unicode MS" w:hAnsi="Arial Unicode MS" w:hint="eastAsia"/>
          <w:color w:val="17365D"/>
        </w:rPr>
        <w:t xml:space="preserve">　　經遴選改任或甄試審查合格為最高行政法院法官之人員，由最高行政法院施以實務課程之訓練。</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前二項實務課程之訓練，包括協助法官辦理訴訟案件程序、實體重點之分析、資料之蒐集分析、裁判書之草擬等事項。</w:t>
      </w:r>
    </w:p>
    <w:p w:rsidR="00151AC6" w:rsidRPr="00151AC6" w:rsidRDefault="00151AC6" w:rsidP="00151AC6">
      <w:pPr>
        <w:pStyle w:val="2"/>
      </w:pPr>
      <w:r w:rsidRPr="00151AC6">
        <w:rPr>
          <w:rFonts w:hint="eastAsia"/>
        </w:rPr>
        <w:t>第</w:t>
      </w:r>
      <w:r w:rsidRPr="00151AC6">
        <w:rPr>
          <w:rFonts w:hint="eastAsia"/>
        </w:rPr>
        <w:t>4</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受訓人員之請假，依</w:t>
      </w:r>
      <w:hyperlink r:id="rId19" w:history="1">
        <w:r w:rsidRPr="0072634F">
          <w:rPr>
            <w:rStyle w:val="a3"/>
            <w:rFonts w:ascii="Arial Unicode MS" w:hAnsi="Arial Unicode MS" w:hint="eastAsia"/>
          </w:rPr>
          <w:t>公務人員請假規則</w:t>
        </w:r>
      </w:hyperlink>
      <w:r w:rsidRPr="00151AC6">
        <w:rPr>
          <w:rFonts w:ascii="Arial Unicode MS" w:hAnsi="Arial Unicode MS" w:hint="eastAsia"/>
        </w:rPr>
        <w:t>辦理。</w:t>
      </w:r>
    </w:p>
    <w:p w:rsidR="00151AC6" w:rsidRPr="00451F3F" w:rsidRDefault="00151AC6" w:rsidP="00151AC6">
      <w:pPr>
        <w:ind w:left="142"/>
        <w:jc w:val="both"/>
        <w:rPr>
          <w:rFonts w:ascii="Arial Unicode MS" w:hAnsi="Arial Unicode MS"/>
          <w:color w:val="17365D"/>
        </w:rPr>
      </w:pPr>
      <w:r w:rsidRPr="00451F3F">
        <w:rPr>
          <w:rFonts w:ascii="Arial Unicode MS" w:hAnsi="Arial Unicode MS" w:hint="eastAsia"/>
          <w:color w:val="17365D"/>
        </w:rPr>
        <w:t xml:space="preserve">　　理論課程請假應經司法院核准；實務課程請假應經訓練之行政法院院長核准。</w:t>
      </w:r>
    </w:p>
    <w:p w:rsidR="00151AC6" w:rsidRPr="00151AC6" w:rsidRDefault="00151AC6" w:rsidP="00151AC6">
      <w:pPr>
        <w:pStyle w:val="2"/>
      </w:pPr>
      <w:r w:rsidRPr="00151AC6">
        <w:rPr>
          <w:rFonts w:hint="eastAsia"/>
        </w:rPr>
        <w:t>第</w:t>
      </w:r>
      <w:r w:rsidRPr="00151AC6">
        <w:rPr>
          <w:rFonts w:hint="eastAsia"/>
        </w:rPr>
        <w:t>5</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經遴選改任行政法院法官之人員，於訓練期間請假及曠課時數合計達受訓期間三分之一者，應於補足時數後，再行分發。</w:t>
      </w:r>
    </w:p>
    <w:p w:rsidR="00151AC6" w:rsidRPr="00151AC6" w:rsidRDefault="00151AC6" w:rsidP="00151AC6">
      <w:pPr>
        <w:pStyle w:val="2"/>
      </w:pPr>
      <w:r w:rsidRPr="00151AC6">
        <w:rPr>
          <w:rFonts w:hint="eastAsia"/>
        </w:rPr>
        <w:t>第</w:t>
      </w:r>
      <w:r w:rsidRPr="00151AC6">
        <w:rPr>
          <w:rFonts w:hint="eastAsia"/>
        </w:rPr>
        <w:t>6</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經甄試審查合格之人員，如以請假方式在職參加訓練者，由原服務機關</w:t>
      </w:r>
      <w:r w:rsidR="0072634F" w:rsidRPr="00151AC6">
        <w:rPr>
          <w:rFonts w:ascii="Arial Unicode MS" w:hAnsi="Arial Unicode MS" w:hint="eastAsia"/>
        </w:rPr>
        <w:t>依</w:t>
      </w:r>
      <w:hyperlink r:id="rId20" w:history="1">
        <w:r w:rsidR="0072634F" w:rsidRPr="0072634F">
          <w:rPr>
            <w:rStyle w:val="a3"/>
            <w:rFonts w:ascii="Arial Unicode MS" w:hAnsi="Arial Unicode MS" w:hint="eastAsia"/>
          </w:rPr>
          <w:t>公務人員請假規則</w:t>
        </w:r>
      </w:hyperlink>
      <w:r w:rsidRPr="00151AC6">
        <w:rPr>
          <w:rFonts w:ascii="Arial Unicode MS" w:hAnsi="Arial Unicode MS" w:hint="eastAsia"/>
        </w:rPr>
        <w:t>等規定辦理。</w:t>
      </w:r>
    </w:p>
    <w:p w:rsidR="00151AC6" w:rsidRPr="00451F3F" w:rsidRDefault="00151AC6" w:rsidP="00151AC6">
      <w:pPr>
        <w:ind w:left="142"/>
        <w:jc w:val="both"/>
        <w:rPr>
          <w:rFonts w:ascii="Arial Unicode MS" w:hAnsi="Arial Unicode MS"/>
          <w:color w:val="17365D"/>
        </w:rPr>
      </w:pPr>
      <w:r w:rsidRPr="00451F3F">
        <w:rPr>
          <w:rFonts w:ascii="Arial Unicode MS" w:hAnsi="Arial Unicode MS" w:hint="eastAsia"/>
          <w:color w:val="17365D"/>
        </w:rPr>
        <w:t xml:space="preserve">　　訓練期間不支薪，於理論課程期間供膳宿。</w:t>
      </w:r>
    </w:p>
    <w:p w:rsidR="00151AC6" w:rsidRPr="00151AC6" w:rsidRDefault="00151AC6" w:rsidP="00151AC6">
      <w:pPr>
        <w:pStyle w:val="2"/>
      </w:pPr>
      <w:r w:rsidRPr="00151AC6">
        <w:rPr>
          <w:rFonts w:hint="eastAsia"/>
        </w:rPr>
        <w:lastRenderedPageBreak/>
        <w:t>第</w:t>
      </w:r>
      <w:r w:rsidRPr="00151AC6">
        <w:rPr>
          <w:rFonts w:hint="eastAsia"/>
        </w:rPr>
        <w:t>7</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經甄試審查合格之人員，於訓練期間有下列情形之一者，應予以退訓：</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一、請假及曠課時數合計達受訓期間三分之一者。</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二、不服從負責訓練之行政法院法官之指導，情節重大者。</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三、品德、操守有嚴重損及司法信譽之具體事實者。</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四、有其他重大之事由者。</w:t>
      </w:r>
    </w:p>
    <w:p w:rsidR="00151AC6" w:rsidRPr="00451F3F" w:rsidRDefault="00151AC6" w:rsidP="00151AC6">
      <w:pPr>
        <w:ind w:left="142"/>
        <w:jc w:val="both"/>
        <w:rPr>
          <w:rFonts w:ascii="Arial Unicode MS" w:hAnsi="Arial Unicode MS"/>
          <w:color w:val="17365D"/>
        </w:rPr>
      </w:pPr>
      <w:r w:rsidRPr="00451F3F">
        <w:rPr>
          <w:rFonts w:ascii="Arial Unicode MS" w:hAnsi="Arial Unicode MS" w:hint="eastAsia"/>
          <w:color w:val="17365D"/>
        </w:rPr>
        <w:t xml:space="preserve">　　前項退訓處分，應經甄試審查委員會審議。</w:t>
      </w:r>
    </w:p>
    <w:p w:rsidR="00151AC6" w:rsidRPr="00151AC6" w:rsidRDefault="00151AC6" w:rsidP="00151AC6">
      <w:pPr>
        <w:pStyle w:val="2"/>
      </w:pPr>
      <w:r w:rsidRPr="00151AC6">
        <w:rPr>
          <w:rFonts w:hint="eastAsia"/>
        </w:rPr>
        <w:t>第</w:t>
      </w:r>
      <w:r w:rsidRPr="00151AC6">
        <w:rPr>
          <w:rFonts w:hint="eastAsia"/>
        </w:rPr>
        <w:t>8</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經甄試審查合格之人員，職前訓練成績之計算，以一百分為滿分，七十分為及格。其中理論課程佔總成績百分之四十；實務課程佔總成績百分之六十。</w:t>
      </w:r>
    </w:p>
    <w:p w:rsidR="00151AC6" w:rsidRPr="00451F3F" w:rsidRDefault="00151AC6" w:rsidP="00151AC6">
      <w:pPr>
        <w:ind w:left="142"/>
        <w:jc w:val="both"/>
        <w:rPr>
          <w:rFonts w:ascii="Arial Unicode MS" w:hAnsi="Arial Unicode MS"/>
          <w:color w:val="17365D"/>
        </w:rPr>
      </w:pPr>
      <w:r w:rsidRPr="00451F3F">
        <w:rPr>
          <w:rFonts w:ascii="Arial Unicode MS" w:hAnsi="Arial Unicode MS" w:hint="eastAsia"/>
          <w:color w:val="17365D"/>
        </w:rPr>
        <w:t xml:space="preserve">　　前項成績經評定不及格者，不予任用。</w:t>
      </w:r>
    </w:p>
    <w:p w:rsidR="00151AC6" w:rsidRPr="00151AC6" w:rsidRDefault="00151AC6" w:rsidP="00151AC6">
      <w:pPr>
        <w:pStyle w:val="2"/>
      </w:pPr>
      <w:r w:rsidRPr="00151AC6">
        <w:rPr>
          <w:rFonts w:hint="eastAsia"/>
        </w:rPr>
        <w:t>第</w:t>
      </w:r>
      <w:r w:rsidRPr="00151AC6">
        <w:rPr>
          <w:rFonts w:hint="eastAsia"/>
        </w:rPr>
        <w:t>9</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經甄試審查合格之人員，應於理論課程結束三個月內，提出</w:t>
      </w:r>
      <w:hyperlink r:id="rId21" w:history="1">
        <w:r w:rsidRPr="0072634F">
          <w:rPr>
            <w:rStyle w:val="a3"/>
            <w:rFonts w:ascii="Arial Unicode MS" w:hAnsi="Arial Unicode MS" w:hint="eastAsia"/>
          </w:rPr>
          <w:t>行政程序法</w:t>
        </w:r>
      </w:hyperlink>
      <w:r w:rsidRPr="00151AC6">
        <w:rPr>
          <w:rFonts w:ascii="Arial Unicode MS" w:hAnsi="Arial Unicode MS" w:hint="eastAsia"/>
        </w:rPr>
        <w:t>、</w:t>
      </w:r>
      <w:hyperlink r:id="rId22" w:history="1">
        <w:r w:rsidRPr="0072634F">
          <w:rPr>
            <w:rStyle w:val="a3"/>
            <w:rFonts w:ascii="Arial Unicode MS" w:hAnsi="Arial Unicode MS" w:hint="eastAsia"/>
          </w:rPr>
          <w:t>訴願法</w:t>
        </w:r>
      </w:hyperlink>
      <w:r w:rsidRPr="00151AC6">
        <w:rPr>
          <w:rFonts w:ascii="Arial Unicode MS" w:hAnsi="Arial Unicode MS" w:hint="eastAsia"/>
        </w:rPr>
        <w:t>及</w:t>
      </w:r>
      <w:hyperlink r:id="rId23" w:history="1">
        <w:r w:rsidRPr="0072634F">
          <w:rPr>
            <w:rStyle w:val="a3"/>
            <w:rFonts w:ascii="Arial Unicode MS" w:hAnsi="Arial Unicode MS" w:hint="eastAsia"/>
          </w:rPr>
          <w:t>行政訴訟法</w:t>
        </w:r>
      </w:hyperlink>
      <w:r w:rsidRPr="00151AC6">
        <w:rPr>
          <w:rFonts w:ascii="Arial Unicode MS" w:hAnsi="Arial Unicode MS" w:hint="eastAsia"/>
        </w:rPr>
        <w:t>之報告各一篇，作為理論課程成績評定之標準。</w:t>
      </w:r>
    </w:p>
    <w:p w:rsidR="00151AC6" w:rsidRPr="00451F3F" w:rsidRDefault="00151AC6" w:rsidP="00151AC6">
      <w:pPr>
        <w:ind w:left="142"/>
        <w:jc w:val="both"/>
        <w:rPr>
          <w:rFonts w:ascii="Arial Unicode MS" w:hAnsi="Arial Unicode MS"/>
          <w:color w:val="17365D"/>
        </w:rPr>
      </w:pPr>
      <w:r w:rsidRPr="00451F3F">
        <w:rPr>
          <w:rFonts w:ascii="Arial Unicode MS" w:hAnsi="Arial Unicode MS" w:hint="eastAsia"/>
          <w:color w:val="17365D"/>
        </w:rPr>
        <w:t xml:space="preserve">　　前項各篇報告之字數，均不得少於一萬字。</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各篇報告之成績，平均計算。其中一篇成績低於五十分者，理論課程成績以零分計算。</w:t>
      </w:r>
    </w:p>
    <w:p w:rsidR="00151AC6" w:rsidRPr="00151AC6" w:rsidRDefault="00151AC6" w:rsidP="00151AC6">
      <w:pPr>
        <w:pStyle w:val="2"/>
      </w:pPr>
      <w:r w:rsidRPr="00151AC6">
        <w:rPr>
          <w:rFonts w:hint="eastAsia"/>
        </w:rPr>
        <w:t>第</w:t>
      </w:r>
      <w:r w:rsidRPr="00151AC6">
        <w:rPr>
          <w:rFonts w:hint="eastAsia"/>
        </w:rPr>
        <w:t>10</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經遴選改任行政法院法官之人員，有下列情形之一者，得免參加理論課程之訓練：</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一、調司法院行政訴訟及懲戒廳辦事之法官，其調辦事期間逾一年以上。</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二、取得</w:t>
      </w:r>
      <w:hyperlink r:id="rId24" w:history="1">
        <w:r w:rsidRPr="0072634F">
          <w:rPr>
            <w:rStyle w:val="a3"/>
            <w:rFonts w:ascii="Arial Unicode MS" w:hAnsi="Arial Unicode MS" w:hint="eastAsia"/>
          </w:rPr>
          <w:t>憲法</w:t>
        </w:r>
      </w:hyperlink>
      <w:r w:rsidRPr="00151AC6">
        <w:rPr>
          <w:rFonts w:ascii="Arial Unicode MS" w:hAnsi="Arial Unicode MS" w:hint="eastAsia"/>
        </w:rPr>
        <w:t>、行政法、租稅法、</w:t>
      </w:r>
      <w:hyperlink r:id="rId25" w:history="1">
        <w:r w:rsidRPr="0072634F">
          <w:rPr>
            <w:rStyle w:val="a3"/>
            <w:rFonts w:ascii="Arial Unicode MS" w:hAnsi="Arial Unicode MS" w:hint="eastAsia"/>
          </w:rPr>
          <w:t>商標法</w:t>
        </w:r>
      </w:hyperlink>
      <w:r w:rsidRPr="00151AC6">
        <w:rPr>
          <w:rFonts w:ascii="Arial Unicode MS" w:hAnsi="Arial Unicode MS" w:hint="eastAsia"/>
        </w:rPr>
        <w:t>、</w:t>
      </w:r>
      <w:hyperlink r:id="rId26" w:history="1">
        <w:r w:rsidRPr="0072634F">
          <w:rPr>
            <w:rStyle w:val="a3"/>
            <w:rFonts w:ascii="Arial Unicode MS" w:hAnsi="Arial Unicode MS" w:hint="eastAsia"/>
          </w:rPr>
          <w:t>專利法</w:t>
        </w:r>
      </w:hyperlink>
      <w:r w:rsidRPr="00151AC6">
        <w:rPr>
          <w:rFonts w:ascii="Arial Unicode MS" w:hAnsi="Arial Unicode MS" w:hint="eastAsia"/>
        </w:rPr>
        <w:t>、</w:t>
      </w:r>
      <w:hyperlink r:id="rId27" w:history="1">
        <w:r w:rsidRPr="0072634F">
          <w:rPr>
            <w:rStyle w:val="a3"/>
            <w:rFonts w:ascii="Arial Unicode MS" w:hAnsi="Arial Unicode MS" w:hint="eastAsia"/>
          </w:rPr>
          <w:t>土地法</w:t>
        </w:r>
      </w:hyperlink>
      <w:r w:rsidRPr="00151AC6">
        <w:rPr>
          <w:rFonts w:ascii="Arial Unicode MS" w:hAnsi="Arial Unicode MS" w:hint="eastAsia"/>
        </w:rPr>
        <w:t>、</w:t>
      </w:r>
      <w:hyperlink r:id="rId28" w:history="1">
        <w:r w:rsidRPr="0072634F">
          <w:rPr>
            <w:rStyle w:val="a3"/>
            <w:rFonts w:ascii="Arial Unicode MS" w:hAnsi="Arial Unicode MS" w:hint="eastAsia"/>
          </w:rPr>
          <w:t>公平交易法</w:t>
        </w:r>
      </w:hyperlink>
      <w:r w:rsidRPr="00151AC6">
        <w:rPr>
          <w:rFonts w:ascii="Arial Unicode MS" w:hAnsi="Arial Unicode MS" w:hint="eastAsia"/>
        </w:rPr>
        <w:t>、</w:t>
      </w:r>
      <w:hyperlink r:id="rId29" w:history="1">
        <w:r w:rsidRPr="0072634F">
          <w:rPr>
            <w:rStyle w:val="a3"/>
            <w:rFonts w:ascii="Arial Unicode MS" w:hAnsi="Arial Unicode MS" w:hint="eastAsia"/>
          </w:rPr>
          <w:t>政府採購法</w:t>
        </w:r>
      </w:hyperlink>
      <w:r w:rsidRPr="00151AC6">
        <w:rPr>
          <w:rFonts w:ascii="Arial Unicode MS" w:hAnsi="Arial Unicode MS" w:hint="eastAsia"/>
        </w:rPr>
        <w:t>或其他主要行政法學碩士以上學位。</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三、參加司法院所舉辦之行政訴訟業務研討會或其他行政法研習課程合計六週以上。</w:t>
      </w:r>
    </w:p>
    <w:p w:rsidR="00151AC6" w:rsidRPr="00151AC6" w:rsidRDefault="00151AC6" w:rsidP="00151AC6">
      <w:pPr>
        <w:pStyle w:val="2"/>
      </w:pPr>
      <w:r w:rsidRPr="00151AC6">
        <w:rPr>
          <w:rFonts w:hint="eastAsia"/>
        </w:rPr>
        <w:t>第</w:t>
      </w:r>
      <w:r w:rsidRPr="00151AC6">
        <w:rPr>
          <w:rFonts w:hint="eastAsia"/>
        </w:rPr>
        <w:t>11</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本辦法施行前依高等行政法院庭長法官訓練要點完成訓練者，視為已依本辦法之規定完成訓練。</w:t>
      </w:r>
    </w:p>
    <w:p w:rsidR="00151AC6" w:rsidRPr="00151AC6" w:rsidRDefault="00151AC6" w:rsidP="00151AC6">
      <w:pPr>
        <w:pStyle w:val="2"/>
      </w:pPr>
      <w:r w:rsidRPr="00151AC6">
        <w:rPr>
          <w:rFonts w:hint="eastAsia"/>
        </w:rPr>
        <w:t>第</w:t>
      </w:r>
      <w:r w:rsidRPr="00151AC6">
        <w:rPr>
          <w:rFonts w:hint="eastAsia"/>
        </w:rPr>
        <w:t>12</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有關訓練之作業要點，由司法院另訂之。</w:t>
      </w:r>
    </w:p>
    <w:p w:rsidR="00151AC6" w:rsidRPr="00151AC6" w:rsidRDefault="00151AC6" w:rsidP="00151AC6">
      <w:pPr>
        <w:pStyle w:val="2"/>
      </w:pPr>
      <w:r w:rsidRPr="00151AC6">
        <w:rPr>
          <w:rFonts w:hint="eastAsia"/>
        </w:rPr>
        <w:t>第</w:t>
      </w:r>
      <w:r w:rsidRPr="00151AC6">
        <w:rPr>
          <w:rFonts w:hint="eastAsia"/>
        </w:rPr>
        <w:t>13</w:t>
      </w:r>
      <w:r w:rsidRPr="00151AC6">
        <w:rPr>
          <w:rFonts w:hint="eastAsia"/>
        </w:rPr>
        <w:t>條</w:t>
      </w:r>
    </w:p>
    <w:p w:rsidR="00151AC6" w:rsidRPr="00151AC6" w:rsidRDefault="00151AC6" w:rsidP="00151AC6">
      <w:pPr>
        <w:ind w:left="142"/>
        <w:jc w:val="both"/>
        <w:rPr>
          <w:rFonts w:ascii="Arial Unicode MS" w:hAnsi="Arial Unicode MS"/>
        </w:rPr>
      </w:pPr>
      <w:r w:rsidRPr="00151AC6">
        <w:rPr>
          <w:rFonts w:ascii="Arial Unicode MS" w:hAnsi="Arial Unicode MS" w:hint="eastAsia"/>
        </w:rPr>
        <w:t xml:space="preserve">　　本辦法自中華民國八十九年七月一日施行。</w:t>
      </w:r>
    </w:p>
    <w:p w:rsidR="002B5901" w:rsidRPr="00451F3F" w:rsidRDefault="00151AC6" w:rsidP="00151AC6">
      <w:pPr>
        <w:ind w:left="142"/>
        <w:jc w:val="both"/>
        <w:rPr>
          <w:rFonts w:ascii="Arial Unicode MS" w:hAnsi="Arial Unicode MS"/>
          <w:color w:val="17365D"/>
        </w:rPr>
      </w:pPr>
      <w:r w:rsidRPr="00451F3F">
        <w:rPr>
          <w:rFonts w:ascii="Arial Unicode MS" w:hAnsi="Arial Unicode MS" w:hint="eastAsia"/>
          <w:color w:val="17365D"/>
        </w:rPr>
        <w:t xml:space="preserve">　　本辦法修正條文自發布日施行。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6D0924" w:rsidRPr="00E5474F" w:rsidRDefault="006D0924" w:rsidP="006D0924">
      <w:pPr>
        <w:jc w:val="both"/>
        <w:rPr>
          <w:rStyle w:val="a3"/>
          <w:rFonts w:ascii="Arial Unicode MS" w:hAnsi="Arial Unicode MS"/>
          <w:sz w:val="18"/>
        </w:rPr>
      </w:pPr>
      <w:r w:rsidRPr="00E5474F">
        <w:rPr>
          <w:rFonts w:hint="eastAsia"/>
          <w:color w:val="5F5F5F"/>
          <w:sz w:val="18"/>
        </w:rPr>
        <w:t>。。。。。。。。。。。。。。。。。。。。。。。。。。。。。。。。。。。。。。。。。。。。。。。。。。</w:t>
      </w:r>
      <w:r>
        <w:fldChar w:fldCharType="begin"/>
      </w:r>
      <w:r>
        <w:instrText xml:space="preserve"> HYPERLINK \l "top" </w:instrText>
      </w:r>
      <w:r>
        <w:fldChar w:fldCharType="separate"/>
      </w:r>
      <w:r w:rsidRPr="00E5474F">
        <w:rPr>
          <w:rStyle w:val="a3"/>
          <w:sz w:val="18"/>
        </w:rPr>
        <w:t>回</w:t>
      </w:r>
      <w:r w:rsidRPr="00E5474F">
        <w:rPr>
          <w:rStyle w:val="a3"/>
          <w:sz w:val="18"/>
        </w:rPr>
        <w:t>首</w:t>
      </w:r>
      <w:r w:rsidRPr="00E5474F">
        <w:rPr>
          <w:rStyle w:val="a3"/>
          <w:sz w:val="18"/>
        </w:rPr>
        <w:t>頁</w:t>
      </w:r>
      <w:r>
        <w:rPr>
          <w:rStyle w:val="a3"/>
          <w:sz w:val="18"/>
        </w:rPr>
        <w:fldChar w:fldCharType="end"/>
      </w:r>
      <w:r w:rsidRPr="00E5474F">
        <w:rPr>
          <w:rFonts w:ascii="新細明體" w:hAnsi="新細明體"/>
          <w:color w:val="808000"/>
          <w:sz w:val="18"/>
        </w:rPr>
        <w:t>&gt;&gt;</w:t>
      </w:r>
    </w:p>
    <w:p w:rsidR="00E64725" w:rsidRPr="00C23280" w:rsidRDefault="006D0924" w:rsidP="00EF3CD2">
      <w:pPr>
        <w:ind w:leftChars="75" w:left="150"/>
        <w:jc w:val="both"/>
        <w:rPr>
          <w:rFonts w:ascii="新細明體" w:hAnsi="新細明體"/>
          <w:b/>
          <w:bCs/>
          <w:color w:val="800000"/>
        </w:rPr>
      </w:pPr>
      <w:r>
        <w:rPr>
          <w:rFonts w:ascii="Arial Unicode MS" w:hAnsi="Arial Unicode MS" w:hint="eastAsia"/>
          <w:color w:val="808080"/>
          <w:sz w:val="18"/>
          <w:szCs w:val="18"/>
        </w:rPr>
        <w:t>【編註】本超連結法規檔以</w:t>
      </w:r>
      <w:hyperlink r:id="rId30"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31"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32"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33"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D4C" w:rsidRDefault="00BF6D4C">
      <w:r>
        <w:separator/>
      </w:r>
    </w:p>
  </w:endnote>
  <w:endnote w:type="continuationSeparator" w:id="0">
    <w:p w:rsidR="00BF6D4C" w:rsidRDefault="00BF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F3CD2">
      <w:rPr>
        <w:rStyle w:val="a6"/>
        <w:noProof/>
      </w:rPr>
      <w:t>2</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192266" w:rsidRPr="00192266">
      <w:rPr>
        <w:rFonts w:ascii="Arial Unicode MS" w:hAnsi="Arial Unicode MS" w:hint="eastAsia"/>
        <w:sz w:val="18"/>
        <w:szCs w:val="18"/>
      </w:rPr>
      <w:t>各級行政法院法官在職訓練及職前訓練辦法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D4C" w:rsidRDefault="00BF6D4C">
      <w:r>
        <w:separator/>
      </w:r>
    </w:p>
  </w:footnote>
  <w:footnote w:type="continuationSeparator" w:id="0">
    <w:p w:rsidR="00BF6D4C" w:rsidRDefault="00BF6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46F7F"/>
    <w:rsid w:val="00151AC6"/>
    <w:rsid w:val="0016645D"/>
    <w:rsid w:val="00174246"/>
    <w:rsid w:val="0017546C"/>
    <w:rsid w:val="00175528"/>
    <w:rsid w:val="001854BA"/>
    <w:rsid w:val="00192266"/>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50476"/>
    <w:rsid w:val="00265AF1"/>
    <w:rsid w:val="002759E3"/>
    <w:rsid w:val="00280157"/>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0C58"/>
    <w:rsid w:val="00324E78"/>
    <w:rsid w:val="00336377"/>
    <w:rsid w:val="00346029"/>
    <w:rsid w:val="00356A6B"/>
    <w:rsid w:val="003611BA"/>
    <w:rsid w:val="00376CE0"/>
    <w:rsid w:val="003832C7"/>
    <w:rsid w:val="00392D6B"/>
    <w:rsid w:val="00396441"/>
    <w:rsid w:val="003974F9"/>
    <w:rsid w:val="003A41F2"/>
    <w:rsid w:val="003D3CF8"/>
    <w:rsid w:val="003F1B68"/>
    <w:rsid w:val="004254F9"/>
    <w:rsid w:val="004422B7"/>
    <w:rsid w:val="00451F3F"/>
    <w:rsid w:val="00456FD4"/>
    <w:rsid w:val="00472DAD"/>
    <w:rsid w:val="00480695"/>
    <w:rsid w:val="00491BB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90A11"/>
    <w:rsid w:val="0059301E"/>
    <w:rsid w:val="00593A15"/>
    <w:rsid w:val="005A3F72"/>
    <w:rsid w:val="005B348B"/>
    <w:rsid w:val="005C252B"/>
    <w:rsid w:val="005D5C90"/>
    <w:rsid w:val="005F269B"/>
    <w:rsid w:val="005F4624"/>
    <w:rsid w:val="005F4688"/>
    <w:rsid w:val="005F611C"/>
    <w:rsid w:val="00602273"/>
    <w:rsid w:val="00621E56"/>
    <w:rsid w:val="006338AD"/>
    <w:rsid w:val="006505D3"/>
    <w:rsid w:val="006712A6"/>
    <w:rsid w:val="00671B31"/>
    <w:rsid w:val="006962E8"/>
    <w:rsid w:val="0069720E"/>
    <w:rsid w:val="0069798E"/>
    <w:rsid w:val="00697B6D"/>
    <w:rsid w:val="006A4840"/>
    <w:rsid w:val="006D0924"/>
    <w:rsid w:val="006E3EC6"/>
    <w:rsid w:val="006F02FC"/>
    <w:rsid w:val="00701248"/>
    <w:rsid w:val="0070387E"/>
    <w:rsid w:val="00703E5A"/>
    <w:rsid w:val="00704646"/>
    <w:rsid w:val="00711E1E"/>
    <w:rsid w:val="00715733"/>
    <w:rsid w:val="0072634F"/>
    <w:rsid w:val="00752FB2"/>
    <w:rsid w:val="00780F68"/>
    <w:rsid w:val="00787C4D"/>
    <w:rsid w:val="007A1DF9"/>
    <w:rsid w:val="007A3CDD"/>
    <w:rsid w:val="007C11EB"/>
    <w:rsid w:val="007C61E0"/>
    <w:rsid w:val="007D7380"/>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73AD9"/>
    <w:rsid w:val="00A82DAF"/>
    <w:rsid w:val="00A8350C"/>
    <w:rsid w:val="00A84B05"/>
    <w:rsid w:val="00AA1293"/>
    <w:rsid w:val="00AA4156"/>
    <w:rsid w:val="00AB1D94"/>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B0C20"/>
    <w:rsid w:val="00BC51BA"/>
    <w:rsid w:val="00BC762E"/>
    <w:rsid w:val="00BC7E09"/>
    <w:rsid w:val="00BD0083"/>
    <w:rsid w:val="00BD2114"/>
    <w:rsid w:val="00BD3C7D"/>
    <w:rsid w:val="00BE45DE"/>
    <w:rsid w:val="00BF4B7D"/>
    <w:rsid w:val="00BF6D4C"/>
    <w:rsid w:val="00C11F97"/>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1AB7"/>
    <w:rsid w:val="00D77174"/>
    <w:rsid w:val="00D85D87"/>
    <w:rsid w:val="00D941CA"/>
    <w:rsid w:val="00DC06D4"/>
    <w:rsid w:val="00DD2CD9"/>
    <w:rsid w:val="00DD6249"/>
    <w:rsid w:val="00DE29D6"/>
    <w:rsid w:val="00DE60CA"/>
    <w:rsid w:val="00DF494B"/>
    <w:rsid w:val="00DF6F22"/>
    <w:rsid w:val="00E046D3"/>
    <w:rsid w:val="00E05B98"/>
    <w:rsid w:val="00E102FD"/>
    <w:rsid w:val="00E16E31"/>
    <w:rsid w:val="00E26C33"/>
    <w:rsid w:val="00E64725"/>
    <w:rsid w:val="00E75407"/>
    <w:rsid w:val="00E76870"/>
    <w:rsid w:val="00E91523"/>
    <w:rsid w:val="00E91E9D"/>
    <w:rsid w:val="00E92963"/>
    <w:rsid w:val="00E94CF5"/>
    <w:rsid w:val="00EA2A87"/>
    <w:rsid w:val="00EB4D32"/>
    <w:rsid w:val="00EE0191"/>
    <w:rsid w:val="00EF3C9D"/>
    <w:rsid w:val="00EF3CD2"/>
    <w:rsid w:val="00EF5A95"/>
    <w:rsid w:val="00EF71D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34892;&#25919;&#27861;&#38498;&#32068;&#32340;&#27861;.docx" TargetMode="External"/><Relationship Id="rId26" Type="http://schemas.openxmlformats.org/officeDocument/2006/relationships/hyperlink" Target="../law/&#23560;&#21033;&#27861;.docx" TargetMode="External"/><Relationship Id="rId3" Type="http://schemas.microsoft.com/office/2007/relationships/stylesWithEffects" Target="stylesWithEffects.xml"/><Relationship Id="rId21" Type="http://schemas.openxmlformats.org/officeDocument/2006/relationships/hyperlink" Target="../law/&#34892;&#25919;&#31243;&#24207;&#27861;.doc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34892;&#25919;&#27861;&#38498;&#32068;&#32340;&#27861;.docx" TargetMode="External"/><Relationship Id="rId25" Type="http://schemas.openxmlformats.org/officeDocument/2006/relationships/hyperlink" Target="../law/&#21830;&#27161;&#27861;.docx" TargetMode="External"/><Relationship Id="rId33"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http://www.6law.idv.tw/6law/law3/&#21508;&#32026;&#34892;&#25919;&#27861;&#38498;&#27861;&#23448;&#22312;&#32887;&#35347;&#32244;&#21450;&#32887;&#21069;&#35347;&#32244;&#36774;&#27861;.htm" TargetMode="External"/><Relationship Id="rId20" Type="http://schemas.openxmlformats.org/officeDocument/2006/relationships/hyperlink" Target="../law3/&#20844;&#21209;&#20154;&#21729;&#35531;&#20551;&#35215;&#21063;.docx" TargetMode="External"/><Relationship Id="rId29" Type="http://schemas.openxmlformats.org/officeDocument/2006/relationships/hyperlink" Target="../law/&#25919;&#24220;&#25505;&#36092;&#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A0020099" TargetMode="External"/><Relationship Id="rId24" Type="http://schemas.openxmlformats.org/officeDocument/2006/relationships/hyperlink" Target="../law/&#25010;&#27861;.docx" TargetMode="External"/><Relationship Id="rId32" Type="http://schemas.openxmlformats.org/officeDocument/2006/relationships/hyperlink" Target="http://law.moj.gov.t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S-link&#38651;&#23376;&#20845;&#27861;&#32034;&#24341;-2.docx" TargetMode="External"/><Relationship Id="rId23" Type="http://schemas.openxmlformats.org/officeDocument/2006/relationships/hyperlink" Target="../law/&#34892;&#25919;&#35380;&#35359;&#27861;.docx" TargetMode="External"/><Relationship Id="rId28" Type="http://schemas.openxmlformats.org/officeDocument/2006/relationships/hyperlink" Target="../law/&#20844;&#24179;&#20132;&#26131;&#27861;.docx" TargetMode="External"/><Relationship Id="rId36"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3/&#20844;&#21209;&#20154;&#21729;&#35531;&#20551;&#35215;&#21063;.docx" TargetMode="External"/><Relationship Id="rId31" Type="http://schemas.openxmlformats.org/officeDocument/2006/relationships/hyperlink" Target="http://www.ly.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law/&#35380;&#39000;&#27861;.docx" TargetMode="External"/><Relationship Id="rId27" Type="http://schemas.openxmlformats.org/officeDocument/2006/relationships/hyperlink" Target="../law/&#22303;&#22320;&#27861;.docx" TargetMode="External"/><Relationship Id="rId30" Type="http://schemas.openxmlformats.org/officeDocument/2006/relationships/hyperlink" Target="http://www.president.gov.tw" TargetMode="External"/><Relationship Id="rId35"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Links>
    <vt:vector size="138" baseType="variant">
      <vt:variant>
        <vt:i4>2949124</vt:i4>
      </vt:variant>
      <vt:variant>
        <vt:i4>66</vt:i4>
      </vt:variant>
      <vt:variant>
        <vt:i4>0</vt:i4>
      </vt:variant>
      <vt:variant>
        <vt:i4>5</vt:i4>
      </vt:variant>
      <vt:variant>
        <vt:lpwstr>mailto:anita399646@hotmail.com</vt:lpwstr>
      </vt:variant>
      <vt:variant>
        <vt:lpwstr/>
      </vt:variant>
      <vt:variant>
        <vt:i4>8192049</vt:i4>
      </vt:variant>
      <vt:variant>
        <vt:i4>63</vt:i4>
      </vt:variant>
      <vt:variant>
        <vt:i4>0</vt:i4>
      </vt:variant>
      <vt:variant>
        <vt:i4>5</vt:i4>
      </vt:variant>
      <vt:variant>
        <vt:lpwstr>http://law.moj.gov.tw/</vt:lpwstr>
      </vt:variant>
      <vt:variant>
        <vt:lpwstr/>
      </vt:variant>
      <vt:variant>
        <vt:i4>6225996</vt:i4>
      </vt:variant>
      <vt:variant>
        <vt:i4>60</vt:i4>
      </vt:variant>
      <vt:variant>
        <vt:i4>0</vt:i4>
      </vt:variant>
      <vt:variant>
        <vt:i4>5</vt:i4>
      </vt:variant>
      <vt:variant>
        <vt:lpwstr>http://www.ly.gov.tw/</vt:lpwstr>
      </vt:variant>
      <vt:variant>
        <vt:lpwstr/>
      </vt:variant>
      <vt:variant>
        <vt:i4>786499</vt:i4>
      </vt:variant>
      <vt:variant>
        <vt:i4>57</vt:i4>
      </vt:variant>
      <vt:variant>
        <vt:i4>0</vt:i4>
      </vt:variant>
      <vt:variant>
        <vt:i4>5</vt:i4>
      </vt:variant>
      <vt:variant>
        <vt:lpwstr>http://www.president.gov.tw/</vt:lpwstr>
      </vt:variant>
      <vt:variant>
        <vt:lpwstr/>
      </vt:variant>
      <vt:variant>
        <vt:i4>7274612</vt:i4>
      </vt:variant>
      <vt:variant>
        <vt:i4>54</vt:i4>
      </vt:variant>
      <vt:variant>
        <vt:i4>0</vt:i4>
      </vt:variant>
      <vt:variant>
        <vt:i4>5</vt:i4>
      </vt:variant>
      <vt:variant>
        <vt:lpwstr/>
      </vt:variant>
      <vt:variant>
        <vt:lpwstr>top</vt:lpwstr>
      </vt:variant>
      <vt:variant>
        <vt:i4>1786368622</vt:i4>
      </vt:variant>
      <vt:variant>
        <vt:i4>51</vt:i4>
      </vt:variant>
      <vt:variant>
        <vt:i4>0</vt:i4>
      </vt:variant>
      <vt:variant>
        <vt:i4>5</vt:i4>
      </vt:variant>
      <vt:variant>
        <vt:lpwstr>../law/政府採購法.doc</vt:lpwstr>
      </vt:variant>
      <vt:variant>
        <vt:lpwstr/>
      </vt:variant>
      <vt:variant>
        <vt:i4>1932474478</vt:i4>
      </vt:variant>
      <vt:variant>
        <vt:i4>48</vt:i4>
      </vt:variant>
      <vt:variant>
        <vt:i4>0</vt:i4>
      </vt:variant>
      <vt:variant>
        <vt:i4>5</vt:i4>
      </vt:variant>
      <vt:variant>
        <vt:lpwstr>../law/公平交易法.doc</vt:lpwstr>
      </vt:variant>
      <vt:variant>
        <vt:lpwstr/>
      </vt:variant>
      <vt:variant>
        <vt:i4>1006131006</vt:i4>
      </vt:variant>
      <vt:variant>
        <vt:i4>45</vt:i4>
      </vt:variant>
      <vt:variant>
        <vt:i4>0</vt:i4>
      </vt:variant>
      <vt:variant>
        <vt:i4>5</vt:i4>
      </vt:variant>
      <vt:variant>
        <vt:lpwstr>../law/土地法.doc</vt:lpwstr>
      </vt:variant>
      <vt:variant>
        <vt:lpwstr/>
      </vt:variant>
      <vt:variant>
        <vt:i4>820990503</vt:i4>
      </vt:variant>
      <vt:variant>
        <vt:i4>42</vt:i4>
      </vt:variant>
      <vt:variant>
        <vt:i4>0</vt:i4>
      </vt:variant>
      <vt:variant>
        <vt:i4>5</vt:i4>
      </vt:variant>
      <vt:variant>
        <vt:lpwstr>../law/專利法.doc</vt:lpwstr>
      </vt:variant>
      <vt:variant>
        <vt:lpwstr/>
      </vt:variant>
      <vt:variant>
        <vt:i4>966879767</vt:i4>
      </vt:variant>
      <vt:variant>
        <vt:i4>39</vt:i4>
      </vt:variant>
      <vt:variant>
        <vt:i4>0</vt:i4>
      </vt:variant>
      <vt:variant>
        <vt:i4>5</vt:i4>
      </vt:variant>
      <vt:variant>
        <vt:lpwstr>../law/商標法.doc</vt:lpwstr>
      </vt:variant>
      <vt:variant>
        <vt:lpwstr/>
      </vt:variant>
      <vt:variant>
        <vt:i4>1640393982</vt:i4>
      </vt:variant>
      <vt:variant>
        <vt:i4>36</vt:i4>
      </vt:variant>
      <vt:variant>
        <vt:i4>0</vt:i4>
      </vt:variant>
      <vt:variant>
        <vt:i4>5</vt:i4>
      </vt:variant>
      <vt:variant>
        <vt:lpwstr>../law/憲法.doc</vt:lpwstr>
      </vt:variant>
      <vt:variant>
        <vt:lpwstr/>
      </vt:variant>
      <vt:variant>
        <vt:i4>1855975214</vt:i4>
      </vt:variant>
      <vt:variant>
        <vt:i4>33</vt:i4>
      </vt:variant>
      <vt:variant>
        <vt:i4>0</vt:i4>
      </vt:variant>
      <vt:variant>
        <vt:i4>5</vt:i4>
      </vt:variant>
      <vt:variant>
        <vt:lpwstr>../law/行政訴訟法.doc</vt:lpwstr>
      </vt:variant>
      <vt:variant>
        <vt:lpwstr/>
      </vt:variant>
      <vt:variant>
        <vt:i4>-422340522</vt:i4>
      </vt:variant>
      <vt:variant>
        <vt:i4>30</vt:i4>
      </vt:variant>
      <vt:variant>
        <vt:i4>0</vt:i4>
      </vt:variant>
      <vt:variant>
        <vt:i4>5</vt:i4>
      </vt:variant>
      <vt:variant>
        <vt:lpwstr>../law/訴願法.doc</vt:lpwstr>
      </vt:variant>
      <vt:variant>
        <vt:lpwstr/>
      </vt:variant>
      <vt:variant>
        <vt:i4>-1633666114</vt:i4>
      </vt:variant>
      <vt:variant>
        <vt:i4>27</vt:i4>
      </vt:variant>
      <vt:variant>
        <vt:i4>0</vt:i4>
      </vt:variant>
      <vt:variant>
        <vt:i4>5</vt:i4>
      </vt:variant>
      <vt:variant>
        <vt:lpwstr>../law/行政程序法.doc</vt:lpwstr>
      </vt:variant>
      <vt:variant>
        <vt:lpwstr/>
      </vt:variant>
      <vt:variant>
        <vt:i4>71245011</vt:i4>
      </vt:variant>
      <vt:variant>
        <vt:i4>24</vt:i4>
      </vt:variant>
      <vt:variant>
        <vt:i4>0</vt:i4>
      </vt:variant>
      <vt:variant>
        <vt:i4>5</vt:i4>
      </vt:variant>
      <vt:variant>
        <vt:lpwstr>公務人員請假規則.doc</vt:lpwstr>
      </vt:variant>
      <vt:variant>
        <vt:lpwstr/>
      </vt:variant>
      <vt:variant>
        <vt:i4>71245011</vt:i4>
      </vt:variant>
      <vt:variant>
        <vt:i4>21</vt:i4>
      </vt:variant>
      <vt:variant>
        <vt:i4>0</vt:i4>
      </vt:variant>
      <vt:variant>
        <vt:i4>5</vt:i4>
      </vt:variant>
      <vt:variant>
        <vt:lpwstr>公務人員請假規則.doc</vt:lpwstr>
      </vt:variant>
      <vt:variant>
        <vt:lpwstr/>
      </vt:variant>
      <vt:variant>
        <vt:i4>-183792282</vt:i4>
      </vt:variant>
      <vt:variant>
        <vt:i4>18</vt:i4>
      </vt:variant>
      <vt:variant>
        <vt:i4>0</vt:i4>
      </vt:variant>
      <vt:variant>
        <vt:i4>5</vt:i4>
      </vt:variant>
      <vt:variant>
        <vt:lpwstr>../law/行政法院組織法.doc</vt:lpwstr>
      </vt:variant>
      <vt:variant>
        <vt:lpwstr>a18</vt:lpwstr>
      </vt:variant>
      <vt:variant>
        <vt:i4>-183792282</vt:i4>
      </vt:variant>
      <vt:variant>
        <vt:i4>15</vt:i4>
      </vt:variant>
      <vt:variant>
        <vt:i4>0</vt:i4>
      </vt:variant>
      <vt:variant>
        <vt:i4>5</vt:i4>
      </vt:variant>
      <vt:variant>
        <vt:lpwstr>../law/行政法院組織法.doc</vt:lpwstr>
      </vt:variant>
      <vt:variant>
        <vt:lpwstr>a17</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各級行政法院法官在職訓練及職前訓練辦法</dc:title>
  <dc:subject/>
  <dc:creator>S-link 電子六法-黃婉玲</dc:creator>
  <cp:keywords/>
  <cp:lastModifiedBy>Anita</cp:lastModifiedBy>
  <cp:revision>4</cp:revision>
  <dcterms:created xsi:type="dcterms:W3CDTF">2014-11-27T15:54:00Z</dcterms:created>
  <dcterms:modified xsi:type="dcterms:W3CDTF">2016-06-07T05:39:00Z</dcterms:modified>
</cp:coreProperties>
</file>