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4217747E"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436BC5" w:rsidRPr="00436BC5">
        <w:rPr>
          <w:sz w:val="18"/>
        </w:rPr>
        <w:t>2024/5/29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6E6E00">
          <w:rPr>
            <w:rStyle w:val="a3"/>
            <w:sz w:val="18"/>
            <w:szCs w:val="20"/>
          </w:rPr>
          <w:t>黃婉玲</w:t>
        </w:r>
      </w:hyperlink>
    </w:p>
    <w:p w14:paraId="281544C7" w14:textId="77777777" w:rsidR="0045425A" w:rsidRPr="00206741" w:rsidRDefault="00EB27D6" w:rsidP="005D6F38">
      <w:pPr>
        <w:ind w:rightChars="-110" w:right="-220" w:firstLineChars="2880" w:firstLine="5184"/>
        <w:jc w:val="right"/>
        <w:rPr>
          <w:rFonts w:ascii="Arial Unicode MS" w:hAnsi="Arial Unicode MS"/>
          <w:color w:val="5F5F5F"/>
          <w:u w:val="single"/>
        </w:rPr>
      </w:pPr>
      <w:r w:rsidRPr="00206741">
        <w:rPr>
          <w:rFonts w:hint="eastAsia"/>
          <w:color w:val="5F5F5F"/>
          <w:sz w:val="18"/>
          <w:szCs w:val="20"/>
        </w:rPr>
        <w:t>（建議使用工具列</w:t>
      </w:r>
      <w:r w:rsidRPr="00206741">
        <w:rPr>
          <w:rFonts w:hint="eastAsia"/>
          <w:color w:val="5F5F5F"/>
          <w:sz w:val="18"/>
          <w:szCs w:val="20"/>
        </w:rPr>
        <w:t>--</w:t>
      </w:r>
      <w:r w:rsidR="00EC6E54" w:rsidRPr="00206741">
        <w:rPr>
          <w:rFonts w:hint="eastAsia"/>
          <w:color w:val="5F5F5F"/>
          <w:sz w:val="18"/>
          <w:szCs w:val="20"/>
        </w:rPr>
        <w:t>〉</w:t>
      </w:r>
      <w:r w:rsidRPr="00206741">
        <w:rPr>
          <w:rFonts w:hint="eastAsia"/>
          <w:color w:val="5F5F5F"/>
          <w:sz w:val="18"/>
          <w:szCs w:val="20"/>
        </w:rPr>
        <w:t>檢視</w:t>
      </w:r>
      <w:r w:rsidRPr="00206741">
        <w:rPr>
          <w:rFonts w:hint="eastAsia"/>
          <w:color w:val="5F5F5F"/>
          <w:sz w:val="18"/>
          <w:szCs w:val="20"/>
        </w:rPr>
        <w:t>--</w:t>
      </w:r>
      <w:r w:rsidR="00EC6E54" w:rsidRPr="00206741">
        <w:rPr>
          <w:rFonts w:hint="eastAsia"/>
          <w:color w:val="5F5F5F"/>
          <w:sz w:val="18"/>
          <w:szCs w:val="20"/>
        </w:rPr>
        <w:t>〉</w:t>
      </w:r>
      <w:r w:rsidRPr="00206741">
        <w:rPr>
          <w:rFonts w:hint="eastAsia"/>
          <w:color w:val="5F5F5F"/>
          <w:sz w:val="18"/>
          <w:szCs w:val="20"/>
        </w:rPr>
        <w:t>文件引導模式</w:t>
      </w:r>
      <w:r w:rsidRPr="00206741">
        <w:rPr>
          <w:rFonts w:hint="eastAsia"/>
          <w:color w:val="5F5F5F"/>
          <w:sz w:val="18"/>
          <w:szCs w:val="20"/>
        </w:rPr>
        <w:t>/</w:t>
      </w:r>
      <w:r w:rsidRPr="00206741">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804"/>
        <w:gridCol w:w="2428"/>
      </w:tblGrid>
      <w:tr w:rsidR="0045425A" w:rsidRPr="000509F5" w14:paraId="72E1B886" w14:textId="77777777" w:rsidTr="0083447C">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79" w:type="pct"/>
            <w:tcBorders>
              <w:top w:val="nil"/>
              <w:left w:val="nil"/>
              <w:bottom w:val="nil"/>
              <w:right w:val="nil"/>
            </w:tcBorders>
            <w:shd w:val="clear" w:color="auto" w:fill="F3F3F3"/>
            <w:vAlign w:val="center"/>
          </w:tcPr>
          <w:p w14:paraId="344C0931" w14:textId="504EF0A8" w:rsidR="0045425A" w:rsidRPr="0083447C" w:rsidRDefault="005C4D3D" w:rsidP="00C84C52">
            <w:pPr>
              <w:keepNext/>
              <w:adjustRightInd w:val="0"/>
              <w:snapToGrid w:val="0"/>
              <w:spacing w:beforeLines="30" w:before="108" w:afterLines="30" w:after="108"/>
              <w:jc w:val="center"/>
              <w:outlineLvl w:val="1"/>
              <w:rPr>
                <w:rFonts w:eastAsia="標楷體"/>
                <w:color w:val="993366"/>
                <w:sz w:val="28"/>
                <w:szCs w:val="28"/>
                <w14:shadow w14:blurRad="50800" w14:dist="38100" w14:dir="2700000" w14:sx="100000" w14:sy="100000" w14:kx="0" w14:ky="0" w14:algn="tl">
                  <w14:srgbClr w14:val="000000">
                    <w14:alpha w14:val="60000"/>
                  </w14:srgbClr>
                </w14:shadow>
              </w:rPr>
            </w:pPr>
            <w:r w:rsidRPr="005C4D3D">
              <w:rPr>
                <w:rFonts w:eastAsia="標楷體" w:hint="eastAsia"/>
                <w:color w:val="993366"/>
                <w:sz w:val="28"/>
                <w:szCs w:val="28"/>
                <w14:shadow w14:blurRad="50800" w14:dist="38100" w14:dir="2700000" w14:sx="100000" w14:sy="100000" w14:kx="0" w14:ky="0" w14:algn="tl">
                  <w14:srgbClr w14:val="000000">
                    <w14:alpha w14:val="60000"/>
                  </w14:srgbClr>
                </w14:shadow>
              </w:rPr>
              <w:t>廢</w:t>
            </w:r>
            <w:r>
              <w:rPr>
                <w:rFonts w:eastAsia="標楷體" w:hint="eastAsia"/>
                <w:color w:val="993366"/>
                <w:sz w:val="28"/>
                <w:szCs w:val="28"/>
                <w14:shadow w14:blurRad="50800" w14:dist="38100" w14:dir="2700000" w14:sx="100000" w14:sy="100000" w14:kx="0" w14:ky="0" w14:algn="tl">
                  <w14:srgbClr w14:val="000000">
                    <w14:alpha w14:val="60000"/>
                  </w14:srgbClr>
                </w14:shadow>
              </w:rPr>
              <w:t>:</w:t>
            </w:r>
            <w:r w:rsidR="00D86249" w:rsidRPr="0083447C">
              <w:rPr>
                <w:rFonts w:eastAsia="標楷體" w:hint="eastAsia"/>
                <w:color w:val="993366"/>
                <w:sz w:val="28"/>
                <w:szCs w:val="28"/>
                <w14:shadow w14:blurRad="50800" w14:dist="38100" w14:dir="2700000" w14:sx="100000" w14:sy="100000" w14:kx="0" w14:ky="0" w14:algn="tl">
                  <w14:srgbClr w14:val="000000">
                    <w14:alpha w14:val="60000"/>
                  </w14:srgbClr>
                </w14:shadow>
              </w:rPr>
              <w:t>候補法官輪辦事務及服務成績考查辦法</w:t>
            </w:r>
          </w:p>
        </w:tc>
        <w:tc>
          <w:tcPr>
            <w:tcW w:w="1206" w:type="pct"/>
            <w:tcBorders>
              <w:top w:val="nil"/>
              <w:left w:val="nil"/>
              <w:bottom w:val="nil"/>
              <w:right w:val="nil"/>
            </w:tcBorders>
            <w:shd w:val="clear" w:color="auto" w:fill="F3F3F3"/>
            <w:vAlign w:val="center"/>
          </w:tcPr>
          <w:p w14:paraId="640971EB" w14:textId="700ECB75" w:rsidR="00EC7AEC" w:rsidRPr="0083447C" w:rsidRDefault="0045425A" w:rsidP="005D6F38">
            <w:pPr>
              <w:ind w:leftChars="-6" w:left="-12"/>
              <w:jc w:val="both"/>
              <w:rPr>
                <w:rFonts w:ascii="Arial Unicode MS" w:hAnsi="Arial Unicode MS"/>
                <w:color w:val="993366"/>
              </w:rPr>
            </w:pPr>
            <w:r w:rsidRPr="0083447C">
              <w:rPr>
                <w:rFonts w:ascii="Arial Unicode MS" w:hAnsi="Arial Unicode MS"/>
                <w:color w:val="993366"/>
              </w:rPr>
              <w:t>【</w:t>
            </w:r>
            <w:r w:rsidR="009C76D2" w:rsidRPr="0083447C">
              <w:rPr>
                <w:rFonts w:ascii="Arial Unicode MS" w:hAnsi="Arial Unicode MS" w:hint="eastAsia"/>
                <w:color w:val="993366"/>
                <w:szCs w:val="20"/>
              </w:rPr>
              <w:t>發</w:t>
            </w:r>
            <w:r w:rsidRPr="0083447C">
              <w:rPr>
                <w:rFonts w:ascii="Arial Unicode MS" w:hAnsi="Arial Unicode MS"/>
                <w:color w:val="993366"/>
              </w:rPr>
              <w:t>布日期】</w:t>
            </w:r>
            <w:r w:rsidR="00366AB6">
              <w:rPr>
                <w:rFonts w:ascii="Arial Unicode MS" w:hAnsi="Arial Unicode MS" w:hint="eastAsia"/>
                <w:color w:val="993366"/>
              </w:rPr>
              <w:t>97.07.01</w:t>
            </w:r>
          </w:p>
          <w:p w14:paraId="59642B65" w14:textId="5D14D7F5" w:rsidR="0045425A" w:rsidRPr="0083447C" w:rsidRDefault="0045425A" w:rsidP="005D6F38">
            <w:pPr>
              <w:ind w:leftChars="-6" w:left="-12"/>
              <w:jc w:val="both"/>
              <w:rPr>
                <w:rFonts w:ascii="Arial Unicode MS" w:hAnsi="Arial Unicode MS"/>
                <w:color w:val="993366"/>
              </w:rPr>
            </w:pPr>
            <w:r w:rsidRPr="0083447C">
              <w:rPr>
                <w:rFonts w:ascii="Arial Unicode MS" w:hAnsi="Arial Unicode MS"/>
                <w:color w:val="993366"/>
              </w:rPr>
              <w:t>【</w:t>
            </w:r>
            <w:r w:rsidR="009C76D2" w:rsidRPr="0083447C">
              <w:rPr>
                <w:rFonts w:ascii="Arial Unicode MS" w:hAnsi="Arial Unicode MS" w:hint="eastAsia"/>
                <w:color w:val="993366"/>
                <w:szCs w:val="20"/>
              </w:rPr>
              <w:t>發</w:t>
            </w:r>
            <w:r w:rsidRPr="0083447C">
              <w:rPr>
                <w:rFonts w:ascii="Arial Unicode MS" w:hAnsi="Arial Unicode MS"/>
                <w:color w:val="993366"/>
              </w:rPr>
              <w:t>布機關】</w:t>
            </w:r>
            <w:hyperlink r:id="rId10" w:tgtFrame="_blank" w:history="1">
              <w:r w:rsidR="00436BC5" w:rsidRPr="002078A1">
                <w:rPr>
                  <w:rStyle w:val="a3"/>
                  <w:rFonts w:ascii="Arial Unicode MS" w:hAnsi="Arial Unicode MS"/>
                  <w:sz w:val="18"/>
                </w:rPr>
                <w:t>司法院</w:t>
              </w:r>
            </w:hyperlink>
            <w:r w:rsidR="00642180" w:rsidRPr="00436BC5">
              <w:rPr>
                <w:rFonts w:hint="eastAsia"/>
                <w:color w:val="FFFFFF" w:themeColor="background1"/>
              </w:rPr>
              <w:t>■</w:t>
            </w:r>
          </w:p>
        </w:tc>
      </w:tr>
    </w:tbl>
    <w:p w14:paraId="5870F007" w14:textId="074A1F18"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候補法官輪辦事務及服務成績考查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7271457E" w14:textId="7081D846" w:rsidR="00D73188" w:rsidRPr="00D73188" w:rsidRDefault="00D73188" w:rsidP="00D73188">
      <w:pPr>
        <w:ind w:left="142"/>
        <w:rPr>
          <w:rFonts w:ascii="Arial Unicode MS" w:hAnsi="Arial Unicode MS"/>
          <w:sz w:val="18"/>
        </w:rPr>
      </w:pPr>
      <w:r w:rsidRPr="00D73188">
        <w:rPr>
          <w:rFonts w:ascii="Arial Unicode MS" w:hAnsi="Arial Unicode MS" w:hint="eastAsia"/>
          <w:b/>
          <w:sz w:val="18"/>
        </w:rPr>
        <w:t>1</w:t>
      </w:r>
      <w:r w:rsidRPr="00D73188">
        <w:rPr>
          <w:rFonts w:ascii="Arial Unicode MS" w:hAnsi="Arial Unicode MS" w:hint="eastAsia"/>
          <w:b/>
          <w:sz w:val="18"/>
        </w:rPr>
        <w:t>‧</w:t>
      </w:r>
      <w:r w:rsidRPr="00D73188">
        <w:rPr>
          <w:rFonts w:ascii="Arial Unicode MS" w:hAnsi="Arial Unicode MS" w:hint="eastAsia"/>
          <w:sz w:val="18"/>
        </w:rPr>
        <w:t>中華民國八十九年五月二十六日司法院（</w:t>
      </w:r>
      <w:r w:rsidRPr="00D73188">
        <w:rPr>
          <w:rFonts w:ascii="Arial Unicode MS" w:hAnsi="Arial Unicode MS" w:hint="eastAsia"/>
          <w:sz w:val="18"/>
        </w:rPr>
        <w:t>89</w:t>
      </w:r>
      <w:r w:rsidRPr="00D73188">
        <w:rPr>
          <w:rFonts w:ascii="Arial Unicode MS" w:hAnsi="Arial Unicode MS" w:hint="eastAsia"/>
          <w:sz w:val="18"/>
        </w:rPr>
        <w:t>）院台人三字第</w:t>
      </w:r>
      <w:r w:rsidRPr="00D73188">
        <w:rPr>
          <w:rFonts w:ascii="Arial Unicode MS" w:hAnsi="Arial Unicode MS" w:hint="eastAsia"/>
          <w:sz w:val="18"/>
        </w:rPr>
        <w:t>12794</w:t>
      </w:r>
      <w:r w:rsidRPr="00D73188">
        <w:rPr>
          <w:rFonts w:ascii="Arial Unicode MS" w:hAnsi="Arial Unicode MS" w:hint="eastAsia"/>
          <w:sz w:val="18"/>
        </w:rPr>
        <w:t>號令訂定發布全文</w:t>
      </w:r>
      <w:r w:rsidRPr="00D73188">
        <w:rPr>
          <w:rFonts w:ascii="Arial Unicode MS" w:hAnsi="Arial Unicode MS" w:hint="eastAsia"/>
          <w:sz w:val="18"/>
        </w:rPr>
        <w:t>11</w:t>
      </w:r>
      <w:r w:rsidRPr="00D73188">
        <w:rPr>
          <w:rFonts w:ascii="Arial Unicode MS" w:hAnsi="Arial Unicode MS" w:hint="eastAsia"/>
          <w:sz w:val="18"/>
        </w:rPr>
        <w:t>條；並自九十年一月一日起施行</w:t>
      </w:r>
    </w:p>
    <w:p w14:paraId="7E83E350" w14:textId="77777777" w:rsidR="00D73188" w:rsidRPr="00D73188" w:rsidRDefault="00D73188" w:rsidP="00D73188">
      <w:pPr>
        <w:ind w:left="142"/>
        <w:rPr>
          <w:rFonts w:ascii="Arial Unicode MS" w:hAnsi="Arial Unicode MS"/>
          <w:sz w:val="18"/>
        </w:rPr>
      </w:pPr>
      <w:r w:rsidRPr="00D73188">
        <w:rPr>
          <w:rFonts w:ascii="Arial Unicode MS" w:hAnsi="Arial Unicode MS" w:hint="eastAsia"/>
          <w:b/>
          <w:sz w:val="18"/>
        </w:rPr>
        <w:t>2</w:t>
      </w:r>
      <w:r w:rsidRPr="00D73188">
        <w:rPr>
          <w:rFonts w:ascii="Arial Unicode MS" w:hAnsi="Arial Unicode MS" w:hint="eastAsia"/>
          <w:b/>
          <w:sz w:val="18"/>
        </w:rPr>
        <w:t>‧</w:t>
      </w:r>
      <w:r w:rsidRPr="00D73188">
        <w:rPr>
          <w:rFonts w:ascii="Arial Unicode MS" w:hAnsi="Arial Unicode MS" w:hint="eastAsia"/>
          <w:sz w:val="18"/>
        </w:rPr>
        <w:t>中華民國八十九年八月九日司法院（</w:t>
      </w:r>
      <w:r w:rsidRPr="00D73188">
        <w:rPr>
          <w:rFonts w:ascii="Arial Unicode MS" w:hAnsi="Arial Unicode MS" w:hint="eastAsia"/>
          <w:sz w:val="18"/>
        </w:rPr>
        <w:t>89</w:t>
      </w:r>
      <w:r w:rsidRPr="00D73188">
        <w:rPr>
          <w:rFonts w:ascii="Arial Unicode MS" w:hAnsi="Arial Unicode MS" w:hint="eastAsia"/>
          <w:sz w:val="18"/>
        </w:rPr>
        <w:t>）院台人三字第</w:t>
      </w:r>
      <w:r w:rsidRPr="00D73188">
        <w:rPr>
          <w:rFonts w:ascii="Arial Unicode MS" w:hAnsi="Arial Unicode MS" w:hint="eastAsia"/>
          <w:sz w:val="18"/>
        </w:rPr>
        <w:t>19287</w:t>
      </w:r>
      <w:r w:rsidRPr="00D73188">
        <w:rPr>
          <w:rFonts w:ascii="Arial Unicode MS" w:hAnsi="Arial Unicode MS" w:hint="eastAsia"/>
          <w:sz w:val="18"/>
        </w:rPr>
        <w:t>號令修正發布</w:t>
      </w:r>
    </w:p>
    <w:p w14:paraId="24B46DAC" w14:textId="77777777" w:rsidR="00D73188" w:rsidRPr="00D73188" w:rsidRDefault="00D73188" w:rsidP="00D73188">
      <w:pPr>
        <w:ind w:left="142"/>
        <w:rPr>
          <w:rFonts w:ascii="Arial Unicode MS" w:hAnsi="Arial Unicode MS"/>
          <w:sz w:val="18"/>
        </w:rPr>
      </w:pPr>
      <w:r w:rsidRPr="00D73188">
        <w:rPr>
          <w:rFonts w:ascii="Arial Unicode MS" w:hAnsi="Arial Unicode MS" w:hint="eastAsia"/>
          <w:b/>
          <w:sz w:val="18"/>
        </w:rPr>
        <w:t>3</w:t>
      </w:r>
      <w:r w:rsidRPr="00D73188">
        <w:rPr>
          <w:rFonts w:ascii="Arial Unicode MS" w:hAnsi="Arial Unicode MS" w:hint="eastAsia"/>
          <w:b/>
          <w:sz w:val="18"/>
        </w:rPr>
        <w:t>‧</w:t>
      </w:r>
      <w:r w:rsidRPr="00D73188">
        <w:rPr>
          <w:rFonts w:ascii="Arial Unicode MS" w:hAnsi="Arial Unicode MS" w:hint="eastAsia"/>
          <w:sz w:val="18"/>
        </w:rPr>
        <w:t>中華民國九十年二月九日司法院（</w:t>
      </w:r>
      <w:r w:rsidRPr="00D73188">
        <w:rPr>
          <w:rFonts w:ascii="Arial Unicode MS" w:hAnsi="Arial Unicode MS" w:hint="eastAsia"/>
          <w:sz w:val="18"/>
        </w:rPr>
        <w:t>90</w:t>
      </w:r>
      <w:r w:rsidRPr="00D73188">
        <w:rPr>
          <w:rFonts w:ascii="Arial Unicode MS" w:hAnsi="Arial Unicode MS" w:hint="eastAsia"/>
          <w:sz w:val="18"/>
        </w:rPr>
        <w:t>）院台人三字第</w:t>
      </w:r>
      <w:r w:rsidRPr="00D73188">
        <w:rPr>
          <w:rFonts w:ascii="Arial Unicode MS" w:hAnsi="Arial Unicode MS" w:hint="eastAsia"/>
          <w:sz w:val="18"/>
        </w:rPr>
        <w:t>03518</w:t>
      </w:r>
      <w:r w:rsidRPr="00D73188">
        <w:rPr>
          <w:rFonts w:ascii="Arial Unicode MS" w:hAnsi="Arial Unicode MS" w:hint="eastAsia"/>
          <w:sz w:val="18"/>
        </w:rPr>
        <w:t>號函修正發布第</w:t>
      </w:r>
      <w:r w:rsidRPr="00D73188">
        <w:rPr>
          <w:rFonts w:ascii="Arial Unicode MS" w:hAnsi="Arial Unicode MS" w:hint="eastAsia"/>
          <w:sz w:val="18"/>
        </w:rPr>
        <w:t>9</w:t>
      </w:r>
      <w:r w:rsidRPr="00D73188">
        <w:rPr>
          <w:rFonts w:ascii="Arial Unicode MS" w:hAnsi="Arial Unicode MS" w:hint="eastAsia"/>
          <w:sz w:val="18"/>
        </w:rPr>
        <w:t>條之附表</w:t>
      </w:r>
    </w:p>
    <w:p w14:paraId="38E031D5" w14:textId="77777777" w:rsidR="00D73188" w:rsidRPr="00D73188" w:rsidRDefault="00D73188" w:rsidP="00D73188">
      <w:pPr>
        <w:ind w:left="142"/>
        <w:rPr>
          <w:rFonts w:ascii="Arial Unicode MS" w:hAnsi="Arial Unicode MS"/>
          <w:sz w:val="18"/>
        </w:rPr>
      </w:pPr>
      <w:r w:rsidRPr="00D73188">
        <w:rPr>
          <w:rFonts w:ascii="Arial Unicode MS" w:hAnsi="Arial Unicode MS" w:hint="eastAsia"/>
          <w:b/>
          <w:sz w:val="18"/>
        </w:rPr>
        <w:t>4</w:t>
      </w:r>
      <w:r w:rsidRPr="00D73188">
        <w:rPr>
          <w:rFonts w:ascii="Arial Unicode MS" w:hAnsi="Arial Unicode MS" w:hint="eastAsia"/>
          <w:b/>
          <w:sz w:val="18"/>
        </w:rPr>
        <w:t>‧</w:t>
      </w:r>
      <w:r w:rsidRPr="00D73188">
        <w:rPr>
          <w:rFonts w:ascii="Arial Unicode MS" w:hAnsi="Arial Unicode MS" w:hint="eastAsia"/>
          <w:sz w:val="18"/>
        </w:rPr>
        <w:t>中華民國九十年九月十二日司法院（</w:t>
      </w:r>
      <w:r w:rsidRPr="00D73188">
        <w:rPr>
          <w:rFonts w:ascii="Arial Unicode MS" w:hAnsi="Arial Unicode MS" w:hint="eastAsia"/>
          <w:sz w:val="18"/>
        </w:rPr>
        <w:t>90</w:t>
      </w:r>
      <w:r w:rsidRPr="00D73188">
        <w:rPr>
          <w:rFonts w:ascii="Arial Unicode MS" w:hAnsi="Arial Unicode MS" w:hint="eastAsia"/>
          <w:sz w:val="18"/>
        </w:rPr>
        <w:t>）院台人三字第</w:t>
      </w:r>
      <w:r w:rsidRPr="00D73188">
        <w:rPr>
          <w:rFonts w:ascii="Arial Unicode MS" w:hAnsi="Arial Unicode MS" w:hint="eastAsia"/>
          <w:sz w:val="18"/>
        </w:rPr>
        <w:t>22640</w:t>
      </w:r>
      <w:r w:rsidRPr="00D73188">
        <w:rPr>
          <w:rFonts w:ascii="Arial Unicode MS" w:hAnsi="Arial Unicode MS" w:hint="eastAsia"/>
          <w:sz w:val="18"/>
        </w:rPr>
        <w:t>號令修正發布第</w:t>
      </w:r>
      <w:r w:rsidRPr="00D73188">
        <w:rPr>
          <w:rFonts w:ascii="Arial Unicode MS" w:hAnsi="Arial Unicode MS" w:hint="eastAsia"/>
          <w:sz w:val="18"/>
        </w:rPr>
        <w:t>6</w:t>
      </w:r>
      <w:r w:rsidRPr="00D73188">
        <w:rPr>
          <w:rFonts w:ascii="Arial Unicode MS" w:hAnsi="Arial Unicode MS" w:hint="eastAsia"/>
          <w:sz w:val="18"/>
        </w:rPr>
        <w:t>條條文</w:t>
      </w:r>
    </w:p>
    <w:p w14:paraId="0BE483C3" w14:textId="77777777" w:rsidR="00D73188" w:rsidRPr="00D73188" w:rsidRDefault="00D73188" w:rsidP="00D73188">
      <w:pPr>
        <w:ind w:left="142"/>
        <w:rPr>
          <w:rFonts w:ascii="Arial Unicode MS" w:hAnsi="Arial Unicode MS"/>
          <w:sz w:val="18"/>
        </w:rPr>
      </w:pPr>
      <w:r w:rsidRPr="00D73188">
        <w:rPr>
          <w:rFonts w:ascii="Arial Unicode MS" w:hAnsi="Arial Unicode MS" w:hint="eastAsia"/>
          <w:b/>
          <w:sz w:val="18"/>
        </w:rPr>
        <w:t>5</w:t>
      </w:r>
      <w:r w:rsidRPr="00D73188">
        <w:rPr>
          <w:rFonts w:ascii="Arial Unicode MS" w:hAnsi="Arial Unicode MS" w:hint="eastAsia"/>
          <w:b/>
          <w:sz w:val="18"/>
        </w:rPr>
        <w:t>‧</w:t>
      </w:r>
      <w:r w:rsidRPr="00D73188">
        <w:rPr>
          <w:rFonts w:ascii="Arial Unicode MS" w:hAnsi="Arial Unicode MS" w:hint="eastAsia"/>
          <w:sz w:val="18"/>
        </w:rPr>
        <w:t>中華民國九十年十一月二十一日司法院（</w:t>
      </w:r>
      <w:r w:rsidRPr="00D73188">
        <w:rPr>
          <w:rFonts w:ascii="Arial Unicode MS" w:hAnsi="Arial Unicode MS" w:hint="eastAsia"/>
          <w:sz w:val="18"/>
        </w:rPr>
        <w:t>90</w:t>
      </w:r>
      <w:r w:rsidRPr="00D73188">
        <w:rPr>
          <w:rFonts w:ascii="Arial Unicode MS" w:hAnsi="Arial Unicode MS" w:hint="eastAsia"/>
          <w:sz w:val="18"/>
        </w:rPr>
        <w:t>）院台人三字第</w:t>
      </w:r>
      <w:r w:rsidRPr="00D73188">
        <w:rPr>
          <w:rFonts w:ascii="Arial Unicode MS" w:hAnsi="Arial Unicode MS" w:hint="eastAsia"/>
          <w:sz w:val="18"/>
        </w:rPr>
        <w:t>28586</w:t>
      </w:r>
      <w:r w:rsidRPr="00D73188">
        <w:rPr>
          <w:rFonts w:ascii="Arial Unicode MS" w:hAnsi="Arial Unicode MS" w:hint="eastAsia"/>
          <w:sz w:val="18"/>
        </w:rPr>
        <w:t>號令修正發布第</w:t>
      </w:r>
      <w:r w:rsidRPr="00D73188">
        <w:rPr>
          <w:rFonts w:ascii="Arial Unicode MS" w:hAnsi="Arial Unicode MS" w:hint="eastAsia"/>
          <w:sz w:val="18"/>
        </w:rPr>
        <w:t>9</w:t>
      </w:r>
      <w:r w:rsidRPr="00D73188">
        <w:rPr>
          <w:rFonts w:ascii="Arial Unicode MS" w:hAnsi="Arial Unicode MS" w:hint="eastAsia"/>
          <w:sz w:val="18"/>
        </w:rPr>
        <w:t>條之附表</w:t>
      </w:r>
    </w:p>
    <w:p w14:paraId="589F78F9" w14:textId="77777777" w:rsidR="00D73188" w:rsidRPr="00D73188" w:rsidRDefault="00D73188" w:rsidP="00D73188">
      <w:pPr>
        <w:ind w:left="142"/>
        <w:rPr>
          <w:rFonts w:ascii="Arial Unicode MS" w:hAnsi="Arial Unicode MS"/>
          <w:sz w:val="18"/>
        </w:rPr>
      </w:pPr>
      <w:r w:rsidRPr="00D73188">
        <w:rPr>
          <w:rFonts w:ascii="Arial Unicode MS" w:hAnsi="Arial Unicode MS" w:hint="eastAsia"/>
          <w:b/>
          <w:sz w:val="18"/>
        </w:rPr>
        <w:t>6</w:t>
      </w:r>
      <w:r w:rsidRPr="00D73188">
        <w:rPr>
          <w:rFonts w:ascii="Arial Unicode MS" w:hAnsi="Arial Unicode MS" w:hint="eastAsia"/>
          <w:b/>
          <w:sz w:val="18"/>
        </w:rPr>
        <w:t>‧</w:t>
      </w:r>
      <w:r w:rsidRPr="00D73188">
        <w:rPr>
          <w:rFonts w:ascii="Arial Unicode MS" w:hAnsi="Arial Unicode MS" w:hint="eastAsia"/>
          <w:sz w:val="18"/>
        </w:rPr>
        <w:t>中華民國九十二年五月九日司法院（九二）院台人三字第</w:t>
      </w:r>
      <w:r w:rsidRPr="00D73188">
        <w:rPr>
          <w:rFonts w:ascii="Arial Unicode MS" w:hAnsi="Arial Unicode MS" w:hint="eastAsia"/>
          <w:sz w:val="18"/>
        </w:rPr>
        <w:t>12210</w:t>
      </w:r>
      <w:r w:rsidRPr="00D73188">
        <w:rPr>
          <w:rFonts w:ascii="Arial Unicode MS" w:hAnsi="Arial Unicode MS" w:hint="eastAsia"/>
          <w:sz w:val="18"/>
        </w:rPr>
        <w:t>號令修正發布第</w:t>
      </w:r>
      <w:r w:rsidRPr="00D73188">
        <w:rPr>
          <w:rFonts w:ascii="Arial Unicode MS" w:hAnsi="Arial Unicode MS" w:hint="eastAsia"/>
          <w:sz w:val="18"/>
        </w:rPr>
        <w:t>1</w:t>
      </w:r>
      <w:r w:rsidRPr="00D73188">
        <w:rPr>
          <w:rFonts w:ascii="Arial Unicode MS" w:hAnsi="Arial Unicode MS" w:hint="eastAsia"/>
          <w:sz w:val="18"/>
        </w:rPr>
        <w:t>、</w:t>
      </w:r>
      <w:r w:rsidRPr="00D73188">
        <w:rPr>
          <w:rFonts w:ascii="Arial Unicode MS" w:hAnsi="Arial Unicode MS" w:hint="eastAsia"/>
          <w:sz w:val="18"/>
        </w:rPr>
        <w:t>2</w:t>
      </w:r>
      <w:r w:rsidRPr="00D73188">
        <w:rPr>
          <w:rFonts w:ascii="Arial Unicode MS" w:hAnsi="Arial Unicode MS" w:hint="eastAsia"/>
          <w:sz w:val="18"/>
        </w:rPr>
        <w:t>、</w:t>
      </w:r>
      <w:r w:rsidRPr="00D73188">
        <w:rPr>
          <w:rFonts w:ascii="Arial Unicode MS" w:hAnsi="Arial Unicode MS" w:hint="eastAsia"/>
          <w:sz w:val="18"/>
        </w:rPr>
        <w:t>3</w:t>
      </w:r>
      <w:r w:rsidRPr="00D73188">
        <w:rPr>
          <w:rFonts w:ascii="Arial Unicode MS" w:hAnsi="Arial Unicode MS" w:hint="eastAsia"/>
          <w:sz w:val="18"/>
        </w:rPr>
        <w:t>、</w:t>
      </w:r>
      <w:r w:rsidRPr="00D73188">
        <w:rPr>
          <w:rFonts w:ascii="Arial Unicode MS" w:hAnsi="Arial Unicode MS" w:hint="eastAsia"/>
          <w:sz w:val="18"/>
        </w:rPr>
        <w:t>11</w:t>
      </w:r>
      <w:r w:rsidRPr="00D73188">
        <w:rPr>
          <w:rFonts w:ascii="Arial Unicode MS" w:hAnsi="Arial Unicode MS" w:hint="eastAsia"/>
          <w:sz w:val="18"/>
        </w:rPr>
        <w:t>條條文；並自發布日施行</w:t>
      </w:r>
    </w:p>
    <w:p w14:paraId="78F0DDF1" w14:textId="77777777" w:rsidR="00D73188" w:rsidRPr="00D73188" w:rsidRDefault="00D73188" w:rsidP="00D73188">
      <w:pPr>
        <w:ind w:left="142"/>
        <w:rPr>
          <w:rFonts w:ascii="Arial Unicode MS" w:hAnsi="Arial Unicode MS"/>
          <w:sz w:val="18"/>
        </w:rPr>
      </w:pPr>
      <w:r w:rsidRPr="00D73188">
        <w:rPr>
          <w:rFonts w:ascii="Arial Unicode MS" w:hAnsi="Arial Unicode MS" w:hint="eastAsia"/>
          <w:b/>
          <w:sz w:val="18"/>
        </w:rPr>
        <w:t>7</w:t>
      </w:r>
      <w:r w:rsidRPr="00D73188">
        <w:rPr>
          <w:rFonts w:ascii="Arial Unicode MS" w:hAnsi="Arial Unicode MS" w:hint="eastAsia"/>
          <w:b/>
          <w:sz w:val="18"/>
        </w:rPr>
        <w:t>‧</w:t>
      </w:r>
      <w:r w:rsidRPr="00D73188">
        <w:rPr>
          <w:rFonts w:ascii="Arial Unicode MS" w:hAnsi="Arial Unicode MS" w:hint="eastAsia"/>
          <w:sz w:val="18"/>
        </w:rPr>
        <w:t>中華民國九十二年八月二十九日司法院（九二）院台人三字第</w:t>
      </w:r>
      <w:r w:rsidRPr="00D73188">
        <w:rPr>
          <w:rFonts w:ascii="Arial Unicode MS" w:hAnsi="Arial Unicode MS" w:hint="eastAsia"/>
          <w:sz w:val="18"/>
        </w:rPr>
        <w:t>22223</w:t>
      </w:r>
      <w:r w:rsidRPr="00D73188">
        <w:rPr>
          <w:rFonts w:ascii="Arial Unicode MS" w:hAnsi="Arial Unicode MS" w:hint="eastAsia"/>
          <w:sz w:val="18"/>
        </w:rPr>
        <w:t>號令修正發布第</w:t>
      </w:r>
      <w:r w:rsidRPr="00D73188">
        <w:rPr>
          <w:rFonts w:ascii="Arial Unicode MS" w:hAnsi="Arial Unicode MS" w:hint="eastAsia"/>
          <w:sz w:val="18"/>
        </w:rPr>
        <w:t>2</w:t>
      </w:r>
      <w:r w:rsidRPr="00D73188">
        <w:rPr>
          <w:rFonts w:ascii="Arial Unicode MS" w:hAnsi="Arial Unicode MS" w:hint="eastAsia"/>
          <w:sz w:val="18"/>
        </w:rPr>
        <w:t>條條文</w:t>
      </w:r>
    </w:p>
    <w:p w14:paraId="638FA399" w14:textId="4B7F5F8F" w:rsidR="00EC7AEC" w:rsidRPr="00EB27D6" w:rsidRDefault="00D73188" w:rsidP="00D73188">
      <w:pPr>
        <w:ind w:left="142"/>
        <w:rPr>
          <w:rFonts w:ascii="Arial Unicode MS" w:hAnsi="Arial Unicode MS"/>
        </w:rPr>
      </w:pPr>
      <w:r w:rsidRPr="00D73188">
        <w:rPr>
          <w:rFonts w:ascii="Arial Unicode MS" w:hAnsi="Arial Unicode MS" w:hint="eastAsia"/>
          <w:b/>
          <w:sz w:val="18"/>
        </w:rPr>
        <w:t>8</w:t>
      </w:r>
      <w:r w:rsidRPr="00D73188">
        <w:rPr>
          <w:rFonts w:ascii="Arial Unicode MS" w:hAnsi="Arial Unicode MS" w:hint="eastAsia"/>
          <w:b/>
          <w:sz w:val="18"/>
        </w:rPr>
        <w:t>‧</w:t>
      </w:r>
      <w:r w:rsidRPr="00D73188">
        <w:rPr>
          <w:rFonts w:ascii="Arial Unicode MS" w:hAnsi="Arial Unicode MS" w:hint="eastAsia"/>
          <w:sz w:val="18"/>
        </w:rPr>
        <w:t>中華民國九十七年七月一日司法院院台人三字第</w:t>
      </w:r>
      <w:r w:rsidRPr="00D73188">
        <w:rPr>
          <w:rFonts w:ascii="Arial Unicode MS" w:hAnsi="Arial Unicode MS" w:hint="eastAsia"/>
          <w:sz w:val="18"/>
        </w:rPr>
        <w:t>0970014098</w:t>
      </w:r>
      <w:r w:rsidRPr="00D73188">
        <w:rPr>
          <w:rFonts w:ascii="Arial Unicode MS" w:hAnsi="Arial Unicode MS" w:hint="eastAsia"/>
          <w:sz w:val="18"/>
        </w:rPr>
        <w:t>號函發布停止適用</w:t>
      </w:r>
    </w:p>
    <w:p w14:paraId="16D54B80" w14:textId="77777777" w:rsidR="006E49D6" w:rsidRPr="000509F5" w:rsidRDefault="006E49D6" w:rsidP="006E49D6">
      <w:pPr>
        <w:ind w:firstLineChars="100" w:firstLine="200"/>
        <w:rPr>
          <w:rFonts w:ascii="Arial Unicode MS" w:hAnsi="Arial Unicode MS"/>
          <w:b/>
          <w:bCs/>
          <w:color w:val="800000"/>
        </w:rPr>
      </w:pPr>
      <w:bookmarkStart w:id="1" w:name="_Hlk35681201"/>
    </w:p>
    <w:p w14:paraId="0FBE26E6" w14:textId="47A349F6" w:rsidR="006E49D6" w:rsidRPr="005D6F38" w:rsidRDefault="005225CF" w:rsidP="006E49D6">
      <w:pPr>
        <w:pStyle w:val="1"/>
        <w:rPr>
          <w:color w:val="990000"/>
        </w:rPr>
      </w:pPr>
      <w:r>
        <w:rPr>
          <w:color w:val="990000"/>
        </w:rPr>
        <w:t>【法規內容】</w:t>
      </w:r>
    </w:p>
    <w:p w14:paraId="141B958D" w14:textId="77777777" w:rsidR="005225CF" w:rsidRPr="0083447C" w:rsidRDefault="00276FBB" w:rsidP="00276FBB">
      <w:pPr>
        <w:pStyle w:val="2"/>
        <w:rPr>
          <w:color w:val="548DD4" w:themeColor="text2" w:themeTint="99"/>
        </w:rPr>
      </w:pPr>
      <w:bookmarkStart w:id="2" w:name="a1"/>
      <w:bookmarkEnd w:id="2"/>
      <w:r w:rsidRPr="0083447C">
        <w:rPr>
          <w:color w:val="548DD4" w:themeColor="text2" w:themeTint="99"/>
        </w:rPr>
        <w:t>第</w:t>
      </w:r>
      <w:r w:rsidRPr="0083447C">
        <w:rPr>
          <w:color w:val="548DD4" w:themeColor="text2" w:themeTint="99"/>
        </w:rPr>
        <w:t>1</w:t>
      </w:r>
      <w:r w:rsidR="005225CF" w:rsidRPr="0083447C">
        <w:rPr>
          <w:color w:val="548DD4" w:themeColor="text2" w:themeTint="99"/>
        </w:rPr>
        <w:t>條</w:t>
      </w:r>
    </w:p>
    <w:p w14:paraId="7E6F8C85" w14:textId="0B983FD5" w:rsidR="00276FBB"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本辦法依司法官候補規則</w:t>
      </w:r>
      <w:hyperlink r:id="rId13" w:anchor="a4" w:history="1">
        <w:r w:rsidR="00276FBB" w:rsidRPr="00206741">
          <w:rPr>
            <w:rStyle w:val="a3"/>
            <w:rFonts w:ascii="Times New Roman" w:hAnsi="Times New Roman"/>
          </w:rPr>
          <w:t>第四條</w:t>
        </w:r>
      </w:hyperlink>
      <w:r w:rsidR="00276FBB">
        <w:t>、</w:t>
      </w:r>
      <w:hyperlink r:id="rId14" w:anchor="a7" w:history="1">
        <w:r w:rsidR="00276FBB" w:rsidRPr="00387168">
          <w:rPr>
            <w:rStyle w:val="a3"/>
            <w:rFonts w:ascii="Times New Roman" w:hAnsi="Times New Roman"/>
          </w:rPr>
          <w:t>第七條</w:t>
        </w:r>
      </w:hyperlink>
      <w:r w:rsidR="00276FBB">
        <w:t>規定訂定。</w:t>
      </w:r>
    </w:p>
    <w:p w14:paraId="1B5AF6F9" w14:textId="27133DC6" w:rsidR="005225CF" w:rsidRPr="0083447C" w:rsidRDefault="00276FBB" w:rsidP="006A600C">
      <w:pPr>
        <w:pStyle w:val="2"/>
        <w:tabs>
          <w:tab w:val="center" w:pos="4960"/>
        </w:tabs>
        <w:rPr>
          <w:color w:val="548DD4" w:themeColor="text2" w:themeTint="99"/>
        </w:rPr>
      </w:pPr>
      <w:bookmarkStart w:id="3" w:name="a2"/>
      <w:bookmarkEnd w:id="3"/>
      <w:r w:rsidRPr="0083447C">
        <w:rPr>
          <w:color w:val="548DD4" w:themeColor="text2" w:themeTint="99"/>
        </w:rPr>
        <w:t>第</w:t>
      </w:r>
      <w:r w:rsidRPr="0083447C">
        <w:rPr>
          <w:color w:val="548DD4" w:themeColor="text2" w:themeTint="99"/>
        </w:rPr>
        <w:t>2</w:t>
      </w:r>
      <w:r w:rsidR="005225CF" w:rsidRPr="0083447C">
        <w:rPr>
          <w:color w:val="548DD4" w:themeColor="text2" w:themeTint="99"/>
        </w:rPr>
        <w:t>條</w:t>
      </w:r>
    </w:p>
    <w:p w14:paraId="57D83615" w14:textId="35EB274E" w:rsidR="00276FBB"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候補法官於候補期間，應輪辦下列事務，但司法院得視實際情形酌予放寬調整：</w:t>
      </w:r>
    </w:p>
    <w:p w14:paraId="6177EFD2" w14:textId="1ABB8BF7" w:rsidR="005225CF" w:rsidRDefault="00276FBB" w:rsidP="00276FBB">
      <w:pPr>
        <w:ind w:left="142"/>
      </w:pPr>
      <w:r>
        <w:t xml:space="preserve">　　一、調至上級審法院辦理法院組織法第</w:t>
      </w:r>
      <w:hyperlink r:id="rId15" w:anchor="a34" w:history="1">
        <w:r w:rsidRPr="006A600C">
          <w:rPr>
            <w:rStyle w:val="a3"/>
            <w:rFonts w:ascii="Times New Roman" w:hAnsi="Times New Roman"/>
          </w:rPr>
          <w:t>三十四</w:t>
        </w:r>
      </w:hyperlink>
      <w:r>
        <w:t>條第三項、行政法院組織法</w:t>
      </w:r>
      <w:hyperlink r:id="rId16" w:anchor="a10" w:history="1">
        <w:r w:rsidRPr="006A600C">
          <w:rPr>
            <w:rStyle w:val="a3"/>
            <w:rFonts w:ascii="Times New Roman" w:hAnsi="Times New Roman"/>
          </w:rPr>
          <w:t>第十條</w:t>
        </w:r>
      </w:hyperlink>
      <w:r>
        <w:t>第五項之事項，或在上級審及地方法院擔任公設辯護人，期間共二年</w:t>
      </w:r>
      <w:r w:rsidR="005225CF">
        <w:t>。</w:t>
      </w:r>
    </w:p>
    <w:p w14:paraId="40BE34C1" w14:textId="12EDA258" w:rsidR="005225CF" w:rsidRDefault="005225CF" w:rsidP="00276FBB">
      <w:pPr>
        <w:ind w:left="142"/>
      </w:pPr>
      <w:r>
        <w:t xml:space="preserve">　　二、</w:t>
      </w:r>
      <w:r w:rsidR="00276FBB">
        <w:t>充任地方法院合議案件之陪席法官及受命法官，期間共二年</w:t>
      </w:r>
      <w:r>
        <w:t>。</w:t>
      </w:r>
    </w:p>
    <w:p w14:paraId="53C16BF3" w14:textId="737F5DE4" w:rsidR="005225CF" w:rsidRDefault="005225CF" w:rsidP="00276FBB">
      <w:pPr>
        <w:ind w:left="142"/>
      </w:pPr>
      <w:r>
        <w:t xml:space="preserve">　　三、</w:t>
      </w:r>
      <w:r w:rsidR="00276FBB">
        <w:t>獨任辦理地方法院少年及流氓感訓案件以外之民、刑事有關裁定案件或民、刑事簡易程序案件或刑事簡式審判程序案件或民事小額訴訟程序事件，期間為一年</w:t>
      </w:r>
      <w:r>
        <w:t>。</w:t>
      </w:r>
    </w:p>
    <w:p w14:paraId="6DC67D33" w14:textId="2205EF99" w:rsidR="00276FBB" w:rsidRDefault="005225CF" w:rsidP="00276FBB">
      <w:pPr>
        <w:ind w:left="142"/>
      </w:pPr>
      <w:r w:rsidRPr="005225CF">
        <w:rPr>
          <w:color w:val="404040" w:themeColor="text1" w:themeTint="BF"/>
          <w:sz w:val="18"/>
        </w:rPr>
        <w:t>﹝</w:t>
      </w:r>
      <w:r w:rsidRPr="005225CF">
        <w:rPr>
          <w:color w:val="404040" w:themeColor="text1" w:themeTint="BF"/>
          <w:sz w:val="18"/>
        </w:rPr>
        <w:t>2</w:t>
      </w:r>
      <w:r w:rsidRPr="005225CF">
        <w:rPr>
          <w:color w:val="404040" w:themeColor="text1" w:themeTint="BF"/>
          <w:sz w:val="18"/>
        </w:rPr>
        <w:t>﹞</w:t>
      </w:r>
      <w:r w:rsidR="00276FBB">
        <w:t>候補法官應依前項各款之次序輪辦事務，但第一款與第二款之輪辦次序及其名額分配，司法院為應業務需要，得調整之；第二款、第三款之輪辦次序，各法院為應業務需要得調整之。</w:t>
      </w:r>
    </w:p>
    <w:p w14:paraId="6C15087E" w14:textId="77777777" w:rsidR="005225CF" w:rsidRPr="0083447C" w:rsidRDefault="00276FBB" w:rsidP="00276FBB">
      <w:pPr>
        <w:pStyle w:val="2"/>
        <w:rPr>
          <w:color w:val="548DD4" w:themeColor="text2" w:themeTint="99"/>
        </w:rPr>
      </w:pPr>
      <w:bookmarkStart w:id="4" w:name="a3"/>
      <w:bookmarkEnd w:id="4"/>
      <w:r w:rsidRPr="0083447C">
        <w:rPr>
          <w:color w:val="548DD4" w:themeColor="text2" w:themeTint="99"/>
        </w:rPr>
        <w:t>第</w:t>
      </w:r>
      <w:r w:rsidRPr="0083447C">
        <w:rPr>
          <w:color w:val="548DD4" w:themeColor="text2" w:themeTint="99"/>
        </w:rPr>
        <w:t>3</w:t>
      </w:r>
      <w:r w:rsidR="005225CF" w:rsidRPr="0083447C">
        <w:rPr>
          <w:color w:val="548DD4" w:themeColor="text2" w:themeTint="99"/>
        </w:rPr>
        <w:t>條</w:t>
      </w:r>
    </w:p>
    <w:p w14:paraId="0035AFDB" w14:textId="2EA55FB6" w:rsidR="00276FBB"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司法院於辦理司法官訓練所結訓分發作業前，應提供分發至各地方法院之缺額以及各地方法院應調至上級審辦事之名額，作為選填分發志願之參考。</w:t>
      </w:r>
    </w:p>
    <w:p w14:paraId="12F00AD4" w14:textId="77777777" w:rsidR="005225CF" w:rsidRPr="0083447C" w:rsidRDefault="00276FBB" w:rsidP="00276FBB">
      <w:pPr>
        <w:pStyle w:val="2"/>
        <w:rPr>
          <w:color w:val="548DD4" w:themeColor="text2" w:themeTint="99"/>
        </w:rPr>
      </w:pPr>
      <w:bookmarkStart w:id="5" w:name="a4"/>
      <w:bookmarkEnd w:id="5"/>
      <w:r w:rsidRPr="0083447C">
        <w:rPr>
          <w:color w:val="548DD4" w:themeColor="text2" w:themeTint="99"/>
        </w:rPr>
        <w:t>第</w:t>
      </w:r>
      <w:r w:rsidRPr="0083447C">
        <w:rPr>
          <w:color w:val="548DD4" w:themeColor="text2" w:themeTint="99"/>
        </w:rPr>
        <w:t>4</w:t>
      </w:r>
      <w:r w:rsidR="005225CF" w:rsidRPr="0083447C">
        <w:rPr>
          <w:color w:val="548DD4" w:themeColor="text2" w:themeTint="99"/>
        </w:rPr>
        <w:t>條</w:t>
      </w:r>
    </w:p>
    <w:p w14:paraId="17647D54" w14:textId="032E9BA4" w:rsidR="00276FBB"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候補法官調至上級審辦事之期間，為民事、刑事訴訟審判事務各十個月，行政訴訟審判事務四個月。</w:t>
      </w:r>
    </w:p>
    <w:p w14:paraId="15151432" w14:textId="77777777" w:rsidR="005225CF" w:rsidRPr="0083447C" w:rsidRDefault="00276FBB" w:rsidP="00276FBB">
      <w:pPr>
        <w:pStyle w:val="2"/>
        <w:rPr>
          <w:color w:val="548DD4" w:themeColor="text2" w:themeTint="99"/>
        </w:rPr>
      </w:pPr>
      <w:bookmarkStart w:id="6" w:name="a5"/>
      <w:bookmarkEnd w:id="6"/>
      <w:r w:rsidRPr="0083447C">
        <w:rPr>
          <w:color w:val="548DD4" w:themeColor="text2" w:themeTint="99"/>
        </w:rPr>
        <w:t>第</w:t>
      </w:r>
      <w:r w:rsidRPr="0083447C">
        <w:rPr>
          <w:color w:val="548DD4" w:themeColor="text2" w:themeTint="99"/>
        </w:rPr>
        <w:t>5</w:t>
      </w:r>
      <w:r w:rsidR="005225CF" w:rsidRPr="0083447C">
        <w:rPr>
          <w:color w:val="548DD4" w:themeColor="text2" w:themeTint="99"/>
        </w:rPr>
        <w:t>條</w:t>
      </w:r>
    </w:p>
    <w:p w14:paraId="06FFB996" w14:textId="0B8F5B42" w:rsidR="00276FBB"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候補法官充任地方法院合議案件之陪席法官、受命法官之期間，共二年，其辦理事務之類型，由該法院斟酌候補法官之志願後，依法院事務分配之相關規定決之。</w:t>
      </w:r>
    </w:p>
    <w:p w14:paraId="47462F8B" w14:textId="77777777" w:rsidR="005225CF" w:rsidRPr="0083447C" w:rsidRDefault="00276FBB" w:rsidP="00276FBB">
      <w:pPr>
        <w:pStyle w:val="2"/>
        <w:rPr>
          <w:color w:val="548DD4" w:themeColor="text2" w:themeTint="99"/>
        </w:rPr>
      </w:pPr>
      <w:bookmarkStart w:id="7" w:name="a6"/>
      <w:bookmarkEnd w:id="7"/>
      <w:r w:rsidRPr="0083447C">
        <w:rPr>
          <w:color w:val="548DD4" w:themeColor="text2" w:themeTint="99"/>
        </w:rPr>
        <w:lastRenderedPageBreak/>
        <w:t>第</w:t>
      </w:r>
      <w:r w:rsidRPr="0083447C">
        <w:rPr>
          <w:color w:val="548DD4" w:themeColor="text2" w:themeTint="99"/>
        </w:rPr>
        <w:t>6</w:t>
      </w:r>
      <w:r w:rsidR="005225CF" w:rsidRPr="0083447C">
        <w:rPr>
          <w:color w:val="548DD4" w:themeColor="text2" w:themeTint="99"/>
        </w:rPr>
        <w:t>條</w:t>
      </w:r>
    </w:p>
    <w:p w14:paraId="7F7DA75A" w14:textId="1B2FC52D" w:rsidR="00276FBB"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前二條有關輪辦期間及案件之限制，司法院得視實際情形酌予調整。</w:t>
      </w:r>
    </w:p>
    <w:p w14:paraId="476CE0C3" w14:textId="77777777" w:rsidR="005225CF" w:rsidRPr="0083447C" w:rsidRDefault="00276FBB" w:rsidP="00276FBB">
      <w:pPr>
        <w:pStyle w:val="2"/>
        <w:rPr>
          <w:color w:val="548DD4" w:themeColor="text2" w:themeTint="99"/>
        </w:rPr>
      </w:pPr>
      <w:bookmarkStart w:id="8" w:name="a7"/>
      <w:bookmarkEnd w:id="8"/>
      <w:r w:rsidRPr="0083447C">
        <w:rPr>
          <w:color w:val="548DD4" w:themeColor="text2" w:themeTint="99"/>
        </w:rPr>
        <w:t>第</w:t>
      </w:r>
      <w:r w:rsidRPr="0083447C">
        <w:rPr>
          <w:color w:val="548DD4" w:themeColor="text2" w:themeTint="99"/>
        </w:rPr>
        <w:t>7</w:t>
      </w:r>
      <w:r w:rsidR="005225CF" w:rsidRPr="0083447C">
        <w:rPr>
          <w:color w:val="548DD4" w:themeColor="text2" w:themeTint="99"/>
        </w:rPr>
        <w:t>條</w:t>
      </w:r>
    </w:p>
    <w:p w14:paraId="6AB964E0" w14:textId="7072F697" w:rsidR="005225CF"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候補法官應於候補期滿四年後，由候補法官檢具最近二年內其擔任受命法官及獨任法官之辦案書類或其調上級審所草擬之書類稿，經審判長證明者共十件，併同司法院就最近二年內其擔任受命法官及獨任法官之案件或其調上級審所擬之書類稿，經審判長證明者中抽取之十件辦案書類，必要時得調取卷宗，由所在法院報送司法院審查</w:t>
      </w:r>
      <w:r>
        <w:t>。</w:t>
      </w:r>
    </w:p>
    <w:p w14:paraId="010E65B4" w14:textId="74E472E6" w:rsidR="005225CF" w:rsidRDefault="005225CF" w:rsidP="00276FBB">
      <w:pPr>
        <w:ind w:left="142"/>
      </w:pPr>
      <w:r w:rsidRPr="005225CF">
        <w:rPr>
          <w:color w:val="404040" w:themeColor="text1" w:themeTint="BF"/>
          <w:sz w:val="18"/>
        </w:rPr>
        <w:t>﹝</w:t>
      </w:r>
      <w:r w:rsidRPr="005225CF">
        <w:rPr>
          <w:color w:val="404040" w:themeColor="text1" w:themeTint="BF"/>
          <w:sz w:val="18"/>
        </w:rPr>
        <w:t>2</w:t>
      </w:r>
      <w:r w:rsidRPr="005225CF">
        <w:rPr>
          <w:color w:val="404040" w:themeColor="text1" w:themeTint="BF"/>
          <w:sz w:val="18"/>
        </w:rPr>
        <w:t>﹞</w:t>
      </w:r>
      <w:r>
        <w:t>候補法官經人事單位通知後，二個月內仍不檢送辦案書類者，該法院院長應毋須經當事人同意，逕行檢送。</w:t>
      </w:r>
    </w:p>
    <w:p w14:paraId="56D94EF1" w14:textId="05267AD1" w:rsidR="00276FBB" w:rsidRDefault="005225CF" w:rsidP="00276FBB">
      <w:pPr>
        <w:ind w:left="142"/>
      </w:pPr>
      <w:r w:rsidRPr="005225CF">
        <w:rPr>
          <w:color w:val="404040" w:themeColor="text1" w:themeTint="BF"/>
          <w:sz w:val="18"/>
        </w:rPr>
        <w:t>﹝</w:t>
      </w:r>
      <w:r w:rsidRPr="005225CF">
        <w:rPr>
          <w:color w:val="404040" w:themeColor="text1" w:themeTint="BF"/>
          <w:sz w:val="18"/>
        </w:rPr>
        <w:t>3</w:t>
      </w:r>
      <w:r w:rsidRPr="005225CF">
        <w:rPr>
          <w:color w:val="404040" w:themeColor="text1" w:themeTint="BF"/>
          <w:sz w:val="18"/>
        </w:rPr>
        <w:t>﹞</w:t>
      </w:r>
      <w:r w:rsidR="00276FBB">
        <w:t>前項通知或逕行檢送情形，由該法院人事主管人員負責簽報。</w:t>
      </w:r>
    </w:p>
    <w:p w14:paraId="56637754" w14:textId="77777777" w:rsidR="005225CF" w:rsidRPr="0083447C" w:rsidRDefault="00276FBB" w:rsidP="00276FBB">
      <w:pPr>
        <w:pStyle w:val="2"/>
        <w:rPr>
          <w:color w:val="548DD4" w:themeColor="text2" w:themeTint="99"/>
        </w:rPr>
      </w:pPr>
      <w:bookmarkStart w:id="9" w:name="a8"/>
      <w:bookmarkEnd w:id="9"/>
      <w:r w:rsidRPr="0083447C">
        <w:rPr>
          <w:color w:val="548DD4" w:themeColor="text2" w:themeTint="99"/>
        </w:rPr>
        <w:t>第</w:t>
      </w:r>
      <w:r w:rsidRPr="0083447C">
        <w:rPr>
          <w:color w:val="548DD4" w:themeColor="text2" w:themeTint="99"/>
        </w:rPr>
        <w:t>8</w:t>
      </w:r>
      <w:r w:rsidR="005225CF" w:rsidRPr="0083447C">
        <w:rPr>
          <w:color w:val="548DD4" w:themeColor="text2" w:themeTint="99"/>
        </w:rPr>
        <w:t>條</w:t>
      </w:r>
    </w:p>
    <w:p w14:paraId="4B44C128" w14:textId="7A8D6E31" w:rsidR="005225CF"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候補法官辦案書類審查委員會，由司法院聘請現任或曾任最高法院法官、高等法院庭長，或富有法學素養及審判經驗者若干人組成之，以其中一人為召集人</w:t>
      </w:r>
      <w:r>
        <w:t>。</w:t>
      </w:r>
    </w:p>
    <w:p w14:paraId="137B9337" w14:textId="2BEA8C4D" w:rsidR="00276FBB" w:rsidRDefault="005225CF" w:rsidP="00276FBB">
      <w:pPr>
        <w:ind w:left="142"/>
      </w:pPr>
      <w:r w:rsidRPr="005225CF">
        <w:rPr>
          <w:color w:val="404040" w:themeColor="text1" w:themeTint="BF"/>
          <w:sz w:val="18"/>
        </w:rPr>
        <w:t>﹝</w:t>
      </w:r>
      <w:r w:rsidRPr="005225CF">
        <w:rPr>
          <w:color w:val="404040" w:themeColor="text1" w:themeTint="BF"/>
          <w:sz w:val="18"/>
        </w:rPr>
        <w:t>2</w:t>
      </w:r>
      <w:r w:rsidRPr="005225CF">
        <w:rPr>
          <w:color w:val="404040" w:themeColor="text1" w:themeTint="BF"/>
          <w:sz w:val="18"/>
        </w:rPr>
        <w:t>﹞</w:t>
      </w:r>
      <w:r w:rsidR="00276FBB">
        <w:t>委員會應先指定委員三人分別為初步審查，評定分數（以平均七十分為及格），加具評語，如審查委員三人中一人評定之分數未滿七十分，且高低分相差十五分以上，得再指定委員一人參加初步審查及評定分數，經委員會以二分之一以上委員出席，出席委員表決二分之一以上同意，將審查結果提司法院人事審議委員會審查。</w:t>
      </w:r>
    </w:p>
    <w:p w14:paraId="1934AA6B" w14:textId="77777777" w:rsidR="005225CF" w:rsidRPr="0083447C" w:rsidRDefault="00276FBB" w:rsidP="00276FBB">
      <w:pPr>
        <w:pStyle w:val="2"/>
        <w:rPr>
          <w:color w:val="548DD4" w:themeColor="text2" w:themeTint="99"/>
        </w:rPr>
      </w:pPr>
      <w:bookmarkStart w:id="10" w:name="a9"/>
      <w:bookmarkEnd w:id="10"/>
      <w:r w:rsidRPr="0083447C">
        <w:rPr>
          <w:color w:val="548DD4" w:themeColor="text2" w:themeTint="99"/>
        </w:rPr>
        <w:t>第</w:t>
      </w:r>
      <w:r w:rsidRPr="0083447C">
        <w:rPr>
          <w:color w:val="548DD4" w:themeColor="text2" w:themeTint="99"/>
        </w:rPr>
        <w:t>9</w:t>
      </w:r>
      <w:r w:rsidR="005225CF" w:rsidRPr="0083447C">
        <w:rPr>
          <w:color w:val="548DD4" w:themeColor="text2" w:themeTint="99"/>
        </w:rPr>
        <w:t>條</w:t>
      </w:r>
    </w:p>
    <w:p w14:paraId="235AE2F0" w14:textId="638E7FFD" w:rsidR="00FA1F11" w:rsidRDefault="005225CF" w:rsidP="00436BC5">
      <w:pPr>
        <w:ind w:left="142"/>
        <w:rPr>
          <w:rFonts w:ascii="Arial Unicode MS" w:hAnsi="Arial Unicode MS"/>
        </w:rPr>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候補法官現辦理事務所在之法院院長應於候補法官於地方法院辦理事務每滿一年或調上級審辦理事務每滿一階段後，依附表格式，填具候補法官之學識能力、品德言行考核表，報送司法院人事處存參，於辦案書類審查時，併提司法院人事審議委員會審議。但有具體事證足認有不適任候補法官之情事者，應即報送</w:t>
      </w:r>
      <w:r>
        <w:t>。</w:t>
      </w:r>
      <w:r w:rsidR="00436BC5" w:rsidRPr="00436BC5">
        <w:rPr>
          <w:rFonts w:hint="eastAsia"/>
          <w:color w:val="FFFFFF" w:themeColor="background1"/>
        </w:rPr>
        <w:t>■</w:t>
      </w:r>
    </w:p>
    <w:p w14:paraId="70C0E45B" w14:textId="0CC988D0" w:rsidR="00FA1F11" w:rsidRDefault="00FA1F11" w:rsidP="00FA1F11">
      <w:pPr>
        <w:ind w:leftChars="75" w:left="150"/>
        <w:jc w:val="both"/>
        <w:rPr>
          <w:rFonts w:ascii="Arial Unicode MS" w:hAnsi="Arial Unicode MS"/>
        </w:rPr>
      </w:pPr>
      <w:r>
        <w:rPr>
          <w:noProof/>
        </w:rPr>
        <w:lastRenderedPageBreak/>
        <w:drawing>
          <wp:inline distT="0" distB="0" distL="0" distR="0" wp14:anchorId="330568BA" wp14:editId="718F702C">
            <wp:extent cx="4004235" cy="4549116"/>
            <wp:effectExtent l="0" t="0" r="0" b="4445"/>
            <wp:docPr id="41710306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6348" name=""/>
                    <pic:cNvPicPr/>
                  </pic:nvPicPr>
                  <pic:blipFill>
                    <a:blip r:embed="rId17"/>
                    <a:stretch>
                      <a:fillRect/>
                    </a:stretch>
                  </pic:blipFill>
                  <pic:spPr>
                    <a:xfrm>
                      <a:off x="0" y="0"/>
                      <a:ext cx="4016231" cy="4562744"/>
                    </a:xfrm>
                    <a:prstGeom prst="rect">
                      <a:avLst/>
                    </a:prstGeom>
                  </pic:spPr>
                </pic:pic>
              </a:graphicData>
            </a:graphic>
          </wp:inline>
        </w:drawing>
      </w:r>
      <w:r w:rsidR="00436BC5" w:rsidRPr="00436BC5">
        <w:rPr>
          <w:rFonts w:hint="eastAsia"/>
          <w:color w:val="FFFFFF" w:themeColor="background1"/>
        </w:rPr>
        <w:t>■</w:t>
      </w:r>
    </w:p>
    <w:p w14:paraId="0B712BC2" w14:textId="6EA771ED" w:rsidR="00FA1F11" w:rsidRDefault="00FA1F11" w:rsidP="00FA1F11">
      <w:pPr>
        <w:ind w:leftChars="75" w:left="150"/>
        <w:jc w:val="both"/>
        <w:rPr>
          <w:rFonts w:ascii="Arial Unicode MS" w:hAnsi="Arial Unicode MS"/>
        </w:rPr>
      </w:pPr>
      <w:r>
        <w:rPr>
          <w:noProof/>
        </w:rPr>
        <w:lastRenderedPageBreak/>
        <w:drawing>
          <wp:inline distT="0" distB="0" distL="0" distR="0" wp14:anchorId="28CA83F7" wp14:editId="7C355FBC">
            <wp:extent cx="3807012" cy="4935905"/>
            <wp:effectExtent l="0" t="0" r="3175" b="0"/>
            <wp:docPr id="108219090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94274" name=""/>
                    <pic:cNvPicPr/>
                  </pic:nvPicPr>
                  <pic:blipFill>
                    <a:blip r:embed="rId18"/>
                    <a:stretch>
                      <a:fillRect/>
                    </a:stretch>
                  </pic:blipFill>
                  <pic:spPr>
                    <a:xfrm>
                      <a:off x="0" y="0"/>
                      <a:ext cx="3811324" cy="4941496"/>
                    </a:xfrm>
                    <a:prstGeom prst="rect">
                      <a:avLst/>
                    </a:prstGeom>
                  </pic:spPr>
                </pic:pic>
              </a:graphicData>
            </a:graphic>
          </wp:inline>
        </w:drawing>
      </w:r>
    </w:p>
    <w:p w14:paraId="2F3FF171" w14:textId="74E867FD" w:rsidR="00276FBB" w:rsidRDefault="005225CF" w:rsidP="00276FBB">
      <w:pPr>
        <w:ind w:left="142"/>
      </w:pPr>
      <w:r w:rsidRPr="005225CF">
        <w:rPr>
          <w:color w:val="404040" w:themeColor="text1" w:themeTint="BF"/>
          <w:sz w:val="18"/>
        </w:rPr>
        <w:t>﹝</w:t>
      </w:r>
      <w:r w:rsidRPr="005225CF">
        <w:rPr>
          <w:color w:val="404040" w:themeColor="text1" w:themeTint="BF"/>
          <w:sz w:val="18"/>
        </w:rPr>
        <w:t>2</w:t>
      </w:r>
      <w:r w:rsidRPr="005225CF">
        <w:rPr>
          <w:color w:val="404040" w:themeColor="text1" w:themeTint="BF"/>
          <w:sz w:val="18"/>
        </w:rPr>
        <w:t>﹞</w:t>
      </w:r>
      <w:r w:rsidR="00276FBB">
        <w:t>法院院長為前項考核時，應先徵詢候補法官及該法院相關之庭長、法官之意見。</w:t>
      </w:r>
    </w:p>
    <w:p w14:paraId="411D152D" w14:textId="77777777" w:rsidR="005225CF" w:rsidRPr="0083447C" w:rsidRDefault="00276FBB" w:rsidP="00276FBB">
      <w:pPr>
        <w:pStyle w:val="2"/>
        <w:rPr>
          <w:color w:val="548DD4" w:themeColor="text2" w:themeTint="99"/>
        </w:rPr>
      </w:pPr>
      <w:bookmarkStart w:id="11" w:name="a10"/>
      <w:bookmarkEnd w:id="11"/>
      <w:r w:rsidRPr="0083447C">
        <w:rPr>
          <w:color w:val="548DD4" w:themeColor="text2" w:themeTint="99"/>
        </w:rPr>
        <w:t>第</w:t>
      </w:r>
      <w:r w:rsidRPr="0083447C">
        <w:rPr>
          <w:color w:val="548DD4" w:themeColor="text2" w:themeTint="99"/>
        </w:rPr>
        <w:t>10</w:t>
      </w:r>
      <w:r w:rsidR="005225CF" w:rsidRPr="0083447C">
        <w:rPr>
          <w:color w:val="548DD4" w:themeColor="text2" w:themeTint="99"/>
        </w:rPr>
        <w:t>條</w:t>
      </w:r>
    </w:p>
    <w:p w14:paraId="5F0D0744" w14:textId="3EF8F783" w:rsidR="00276FBB" w:rsidRDefault="005225CF" w:rsidP="00276FBB">
      <w:pPr>
        <w:ind w:left="142"/>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依本辦法考查辦案書類及服務成績及格者，其辦理行政訴訟事務之期間，視同在職訓練期間。</w:t>
      </w:r>
    </w:p>
    <w:p w14:paraId="13D8E39E" w14:textId="77777777" w:rsidR="005225CF" w:rsidRPr="0083447C" w:rsidRDefault="00276FBB" w:rsidP="00276FBB">
      <w:pPr>
        <w:pStyle w:val="2"/>
        <w:rPr>
          <w:color w:val="548DD4" w:themeColor="text2" w:themeTint="99"/>
        </w:rPr>
      </w:pPr>
      <w:bookmarkStart w:id="12" w:name="a11"/>
      <w:bookmarkEnd w:id="12"/>
      <w:r w:rsidRPr="0083447C">
        <w:rPr>
          <w:color w:val="548DD4" w:themeColor="text2" w:themeTint="99"/>
        </w:rPr>
        <w:t>第</w:t>
      </w:r>
      <w:r w:rsidRPr="0083447C">
        <w:rPr>
          <w:color w:val="548DD4" w:themeColor="text2" w:themeTint="99"/>
        </w:rPr>
        <w:t>11</w:t>
      </w:r>
      <w:r w:rsidR="005225CF" w:rsidRPr="0083447C">
        <w:rPr>
          <w:color w:val="548DD4" w:themeColor="text2" w:themeTint="99"/>
        </w:rPr>
        <w:t>條</w:t>
      </w:r>
    </w:p>
    <w:p w14:paraId="14B5B087" w14:textId="5079D1B6" w:rsidR="006E49D6" w:rsidRPr="001C7001" w:rsidRDefault="005225CF" w:rsidP="00276FBB">
      <w:pPr>
        <w:ind w:leftChars="75" w:left="150"/>
        <w:jc w:val="both"/>
        <w:rPr>
          <w:rFonts w:ascii="Arial Unicode MS" w:hAnsi="Arial Unicode MS"/>
        </w:rPr>
      </w:pPr>
      <w:r w:rsidRPr="005225CF">
        <w:rPr>
          <w:color w:val="404040" w:themeColor="text1" w:themeTint="BF"/>
          <w:sz w:val="18"/>
        </w:rPr>
        <w:t>﹝</w:t>
      </w:r>
      <w:r w:rsidRPr="005225CF">
        <w:rPr>
          <w:color w:val="404040" w:themeColor="text1" w:themeTint="BF"/>
          <w:sz w:val="18"/>
        </w:rPr>
        <w:t>1</w:t>
      </w:r>
      <w:r w:rsidRPr="005225CF">
        <w:rPr>
          <w:color w:val="404040" w:themeColor="text1" w:themeTint="BF"/>
          <w:sz w:val="18"/>
        </w:rPr>
        <w:t>﹞</w:t>
      </w:r>
      <w:r w:rsidR="00276FBB">
        <w:t>本辦法自發布日施行。</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bookmarkStart w:id="13" w:name="_Hlk167890911"/>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D2412B">
          <w:rPr>
            <w:rStyle w:val="a3"/>
            <w:rFonts w:ascii="Arial Unicode MS" w:hAnsi="Arial Unicode MS"/>
            <w:sz w:val="18"/>
            <w:szCs w:val="20"/>
          </w:rPr>
          <w:t>告知</w:t>
        </w:r>
      </w:hyperlink>
      <w:r w:rsidRPr="003D460F">
        <w:rPr>
          <w:rFonts w:hint="eastAsia"/>
          <w:color w:val="5F5F5F"/>
          <w:sz w:val="18"/>
          <w:szCs w:val="20"/>
        </w:rPr>
        <w:t>，謝謝！</w:t>
      </w:r>
      <w:bookmarkEnd w:id="1"/>
      <w:bookmarkEnd w:id="13"/>
    </w:p>
    <w:sectPr w:rsidR="006E49D6" w:rsidRPr="00A51BA6">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5FF8" w14:textId="77777777" w:rsidR="00B20B0B" w:rsidRDefault="00B20B0B">
      <w:r>
        <w:separator/>
      </w:r>
    </w:p>
  </w:endnote>
  <w:endnote w:type="continuationSeparator" w:id="0">
    <w:p w14:paraId="64EEF22D" w14:textId="77777777" w:rsidR="00B20B0B" w:rsidRDefault="00B2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DD25C25"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5C4D3D" w:rsidRPr="005C4D3D">
      <w:rPr>
        <w:rFonts w:ascii="Arial Unicode MS" w:hAnsi="Arial Unicode MS" w:hint="eastAsia"/>
        <w:sz w:val="18"/>
      </w:rPr>
      <w:t>廢</w:t>
    </w:r>
    <w:r w:rsidR="005C4D3D" w:rsidRPr="005C4D3D">
      <w:rPr>
        <w:rFonts w:ascii="Arial Unicode MS" w:hAnsi="Arial Unicode MS" w:hint="eastAsia"/>
        <w:sz w:val="18"/>
      </w:rPr>
      <w:t>:</w:t>
    </w:r>
    <w:r w:rsidR="00276FBB" w:rsidRPr="00276FBB">
      <w:rPr>
        <w:rFonts w:ascii="Arial Unicode MS" w:hAnsi="Arial Unicode MS" w:hint="eastAsia"/>
        <w:sz w:val="18"/>
      </w:rPr>
      <w:t>候補法官輪辦事務及服務成績考查辦法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407B" w14:textId="77777777" w:rsidR="00B20B0B" w:rsidRDefault="00B20B0B">
      <w:r>
        <w:separator/>
      </w:r>
    </w:p>
  </w:footnote>
  <w:footnote w:type="continuationSeparator" w:id="0">
    <w:p w14:paraId="5B825DED" w14:textId="77777777" w:rsidR="00B20B0B" w:rsidRDefault="00B2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3EB3"/>
    <w:rsid w:val="00057110"/>
    <w:rsid w:val="00075E1C"/>
    <w:rsid w:val="0009406C"/>
    <w:rsid w:val="000A5999"/>
    <w:rsid w:val="000C6C5A"/>
    <w:rsid w:val="000E00FA"/>
    <w:rsid w:val="00104FBB"/>
    <w:rsid w:val="00140BE0"/>
    <w:rsid w:val="001605C6"/>
    <w:rsid w:val="00187602"/>
    <w:rsid w:val="0019594C"/>
    <w:rsid w:val="001A426A"/>
    <w:rsid w:val="001C7001"/>
    <w:rsid w:val="001D50AD"/>
    <w:rsid w:val="001E23A9"/>
    <w:rsid w:val="00206429"/>
    <w:rsid w:val="00206741"/>
    <w:rsid w:val="00254FCB"/>
    <w:rsid w:val="00276FBB"/>
    <w:rsid w:val="00277BB9"/>
    <w:rsid w:val="002844B5"/>
    <w:rsid w:val="0028452A"/>
    <w:rsid w:val="002A5208"/>
    <w:rsid w:val="002A6178"/>
    <w:rsid w:val="00301DD2"/>
    <w:rsid w:val="00306BFD"/>
    <w:rsid w:val="00317C6A"/>
    <w:rsid w:val="0034729B"/>
    <w:rsid w:val="00366AB6"/>
    <w:rsid w:val="00372655"/>
    <w:rsid w:val="00376F50"/>
    <w:rsid w:val="00377189"/>
    <w:rsid w:val="00387168"/>
    <w:rsid w:val="003A1CEA"/>
    <w:rsid w:val="003A4FBC"/>
    <w:rsid w:val="003A7CC8"/>
    <w:rsid w:val="00436BC5"/>
    <w:rsid w:val="00451727"/>
    <w:rsid w:val="0045425A"/>
    <w:rsid w:val="00464D03"/>
    <w:rsid w:val="00464EE7"/>
    <w:rsid w:val="004943A7"/>
    <w:rsid w:val="004A6E50"/>
    <w:rsid w:val="004B0859"/>
    <w:rsid w:val="004D0FA1"/>
    <w:rsid w:val="004E2FEA"/>
    <w:rsid w:val="004E6452"/>
    <w:rsid w:val="004F1825"/>
    <w:rsid w:val="004F43FF"/>
    <w:rsid w:val="004F7BAA"/>
    <w:rsid w:val="00520F8A"/>
    <w:rsid w:val="005225CF"/>
    <w:rsid w:val="00525B3E"/>
    <w:rsid w:val="00547F66"/>
    <w:rsid w:val="0056107E"/>
    <w:rsid w:val="005C2D7D"/>
    <w:rsid w:val="005C483E"/>
    <w:rsid w:val="005C4D3D"/>
    <w:rsid w:val="005D2C95"/>
    <w:rsid w:val="005D6F38"/>
    <w:rsid w:val="005E0DDB"/>
    <w:rsid w:val="005E12A5"/>
    <w:rsid w:val="005E446D"/>
    <w:rsid w:val="005F58C4"/>
    <w:rsid w:val="00613FB8"/>
    <w:rsid w:val="00616222"/>
    <w:rsid w:val="006312B1"/>
    <w:rsid w:val="00642180"/>
    <w:rsid w:val="00654586"/>
    <w:rsid w:val="0067282D"/>
    <w:rsid w:val="00673844"/>
    <w:rsid w:val="006A5AD5"/>
    <w:rsid w:val="006A600C"/>
    <w:rsid w:val="006C53DB"/>
    <w:rsid w:val="006E4464"/>
    <w:rsid w:val="006E49D6"/>
    <w:rsid w:val="006E6E00"/>
    <w:rsid w:val="006E7FE9"/>
    <w:rsid w:val="00712B5C"/>
    <w:rsid w:val="0072241A"/>
    <w:rsid w:val="00732E57"/>
    <w:rsid w:val="0074183A"/>
    <w:rsid w:val="00765234"/>
    <w:rsid w:val="007A2583"/>
    <w:rsid w:val="007B59EF"/>
    <w:rsid w:val="007D1CB6"/>
    <w:rsid w:val="007D5904"/>
    <w:rsid w:val="007F4C46"/>
    <w:rsid w:val="008013F3"/>
    <w:rsid w:val="008117F1"/>
    <w:rsid w:val="00816028"/>
    <w:rsid w:val="00816704"/>
    <w:rsid w:val="00831AE4"/>
    <w:rsid w:val="0083447C"/>
    <w:rsid w:val="00857E9D"/>
    <w:rsid w:val="0088014C"/>
    <w:rsid w:val="00894B45"/>
    <w:rsid w:val="008B621F"/>
    <w:rsid w:val="00900A10"/>
    <w:rsid w:val="00907274"/>
    <w:rsid w:val="00921698"/>
    <w:rsid w:val="00967AED"/>
    <w:rsid w:val="00997067"/>
    <w:rsid w:val="009C76D2"/>
    <w:rsid w:val="00A05A00"/>
    <w:rsid w:val="00A6506B"/>
    <w:rsid w:val="00AB72F0"/>
    <w:rsid w:val="00AC37D9"/>
    <w:rsid w:val="00AE1199"/>
    <w:rsid w:val="00B045DE"/>
    <w:rsid w:val="00B14DE7"/>
    <w:rsid w:val="00B20B0B"/>
    <w:rsid w:val="00BB5F81"/>
    <w:rsid w:val="00BD34CC"/>
    <w:rsid w:val="00BE25FF"/>
    <w:rsid w:val="00BF4907"/>
    <w:rsid w:val="00BF5191"/>
    <w:rsid w:val="00C10BFF"/>
    <w:rsid w:val="00C348DE"/>
    <w:rsid w:val="00C822AE"/>
    <w:rsid w:val="00C84C52"/>
    <w:rsid w:val="00CC662F"/>
    <w:rsid w:val="00D03876"/>
    <w:rsid w:val="00D26DE0"/>
    <w:rsid w:val="00D70BB8"/>
    <w:rsid w:val="00D73188"/>
    <w:rsid w:val="00D73296"/>
    <w:rsid w:val="00D86249"/>
    <w:rsid w:val="00DE5DA3"/>
    <w:rsid w:val="00DE6B3B"/>
    <w:rsid w:val="00E205E8"/>
    <w:rsid w:val="00E21071"/>
    <w:rsid w:val="00E24D45"/>
    <w:rsid w:val="00E7256D"/>
    <w:rsid w:val="00E84B0A"/>
    <w:rsid w:val="00EB27D6"/>
    <w:rsid w:val="00EB61D2"/>
    <w:rsid w:val="00EC6E54"/>
    <w:rsid w:val="00EC7AEC"/>
    <w:rsid w:val="00EE484E"/>
    <w:rsid w:val="00EF3193"/>
    <w:rsid w:val="00F203C4"/>
    <w:rsid w:val="00F70572"/>
    <w:rsid w:val="00F94247"/>
    <w:rsid w:val="00F952B4"/>
    <w:rsid w:val="00FA1F11"/>
    <w:rsid w:val="00FF0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F11"/>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276FB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276FBB"/>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paragraph" w:styleId="ac">
    <w:name w:val="List Paragraph"/>
    <w:basedOn w:val="a"/>
    <w:uiPriority w:val="34"/>
    <w:qFormat/>
    <w:rsid w:val="00FA1F11"/>
    <w:pPr>
      <w:ind w:leftChars="200" w:left="480"/>
    </w:pPr>
  </w:style>
  <w:style w:type="character" w:styleId="ad">
    <w:name w:val="Unresolved Mention"/>
    <w:basedOn w:val="a0"/>
    <w:uiPriority w:val="99"/>
    <w:semiHidden/>
    <w:unhideWhenUsed/>
    <w:rsid w:val="0020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722390">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law3/&#21496;&#27861;&#23448;&#20505;&#35036;&#35215;&#21063;.docx"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6laws.net/6law/law3/&#20505;&#35036;&#27861;&#23448;&#36650;&#36774;&#20107;&#21209;&#21450;&#26381;&#21209;&#25104;&#32318;&#32771;&#26597;&#36774;&#27861;.htm"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law/&#34892;&#25919;&#27861;&#38498;&#32068;&#32340;&#27861;.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38651;&#23376;&#20845;&#27861;&#32034;&#24341;-2.docx" TargetMode="External"/><Relationship Id="rId5" Type="http://schemas.openxmlformats.org/officeDocument/2006/relationships/endnotes" Target="endnotes.xml"/><Relationship Id="rId15" Type="http://schemas.openxmlformats.org/officeDocument/2006/relationships/hyperlink" Target="../law/&#27861;&#38498;&#32068;&#32340;&#27861;.docx" TargetMode="External"/><Relationship Id="rId23" Type="http://schemas.openxmlformats.org/officeDocument/2006/relationships/theme" Target="theme/theme1.xml"/><Relationship Id="rId10" Type="http://schemas.openxmlformats.org/officeDocument/2006/relationships/hyperlink" Target="https://www.judicial.gov.tw/" TargetMode="External"/><Relationship Id="rId19" Type="http://schemas.openxmlformats.org/officeDocument/2006/relationships/hyperlink" Target="https://www.6laws.net/comment.htm" TargetMode="External"/><Relationship Id="rId4" Type="http://schemas.openxmlformats.org/officeDocument/2006/relationships/footnotes" Target="footnotes.xml"/><Relationship Id="rId9" Type="http://schemas.openxmlformats.org/officeDocument/2006/relationships/hyperlink" Target="https://www.facebook.com/anita6law" TargetMode="External"/><Relationship Id="rId14" Type="http://schemas.openxmlformats.org/officeDocument/2006/relationships/hyperlink" Target="../law3/&#21496;&#27861;&#23448;&#20505;&#35036;&#35215;&#21063;.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25</TotalTime>
  <Pages>4</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廢:候補法官輪辦事務及服務成績考查辦法</dc:title>
  <dc:creator>S-link 電子六法-黃婉玲</dc:creator>
  <cp:lastModifiedBy>黃 6laws</cp:lastModifiedBy>
  <cp:revision>19</cp:revision>
  <dcterms:created xsi:type="dcterms:W3CDTF">2024-05-29T07:02:00Z</dcterms:created>
  <dcterms:modified xsi:type="dcterms:W3CDTF">2024-05-29T16:20:00Z</dcterms:modified>
</cp:coreProperties>
</file>