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60" w:rsidRDefault="008544D9" w:rsidP="00683A60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Arial Unicode MS" w:hAnsi="Arial Unicode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.75pt" o:preferrelative="f">
            <v:imagedata r:id="rId7" o:title="6lawr"/>
            <o:lock v:ext="edit" aspectratio="f"/>
          </v:shape>
        </w:pict>
      </w:r>
    </w:p>
    <w:p w:rsidR="00683A60" w:rsidRDefault="00683A60" w:rsidP="00683A60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124C21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8544D9">
        <w:rPr>
          <w:rFonts w:ascii="Arial Unicode MS" w:hAnsi="Arial Unicode MS"/>
          <w:color w:val="7F7F7F"/>
          <w:sz w:val="18"/>
          <w:szCs w:val="20"/>
        </w:rPr>
        <w:t>2019/1/2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0C2FB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905994">
          <w:rPr>
            <w:rStyle w:val="a3"/>
            <w:sz w:val="18"/>
            <w:szCs w:val="20"/>
          </w:rPr>
          <w:t>黃婉玲</w:t>
        </w:r>
      </w:hyperlink>
    </w:p>
    <w:p w:rsidR="00C9472E" w:rsidRPr="00683A60" w:rsidRDefault="00051984" w:rsidP="00683A60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F8357A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F8357A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hyperlink r:id="rId11" w:history="1">
        <w:r w:rsidRPr="000C2FB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功能窗格</w:t>
        </w:r>
      </w:hyperlink>
      <w:r>
        <w:rPr>
          <w:rFonts w:hint="eastAsia"/>
          <w:color w:val="808000"/>
          <w:sz w:val="18"/>
          <w:szCs w:val="20"/>
        </w:rPr>
        <w:t>）</w:t>
      </w:r>
    </w:p>
    <w:tbl>
      <w:tblPr>
        <w:tblW w:w="5065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4841"/>
        <w:gridCol w:w="3948"/>
      </w:tblGrid>
      <w:tr w:rsidR="00C9472E" w:rsidRPr="006839A5" w:rsidTr="00FF6554">
        <w:trPr>
          <w:cantSplit/>
          <w:trHeight w:val="750"/>
          <w:tblCellSpacing w:w="0" w:type="dxa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</w:tcPr>
          <w:p w:rsidR="00C9472E" w:rsidRPr="009E6AEF" w:rsidRDefault="00F8357A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F8357A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FFFAE5"/>
            <w:vAlign w:val="center"/>
          </w:tcPr>
          <w:p w:rsidR="00C9472E" w:rsidRPr="006839A5" w:rsidRDefault="00C9472E" w:rsidP="006839A5">
            <w:pPr>
              <w:jc w:val="center"/>
              <w:rPr>
                <w:rFonts w:eastAsia="標楷體"/>
                <w:bCs/>
                <w:shadow/>
                <w:sz w:val="32"/>
              </w:rPr>
            </w:pPr>
            <w:r w:rsidRPr="00FF6554">
              <w:rPr>
                <w:rFonts w:eastAsia="標楷體"/>
                <w:shadow/>
                <w:sz w:val="30"/>
              </w:rPr>
              <w:t>血液製劑條例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FFFAE5"/>
            <w:vAlign w:val="center"/>
          </w:tcPr>
          <w:p w:rsidR="00B969D9" w:rsidRPr="00995AAE" w:rsidRDefault="00C9472E" w:rsidP="00B969D9">
            <w:pPr>
              <w:ind w:leftChars="-6" w:left="-12"/>
              <w:jc w:val="both"/>
              <w:rPr>
                <w:rFonts w:ascii="Arial Unicode MS" w:hAnsi="Arial Unicode MS"/>
                <w:color w:val="990000"/>
              </w:rPr>
            </w:pPr>
            <w:r w:rsidRPr="006839A5">
              <w:rPr>
                <w:rFonts w:ascii="Arial Unicode MS" w:hAnsi="Arial Unicode MS"/>
                <w:color w:val="800000"/>
              </w:rPr>
              <w:t>【</w:t>
            </w:r>
            <w:r w:rsidR="00B969D9" w:rsidRPr="00064C39">
              <w:rPr>
                <w:rFonts w:ascii="Arial Unicode MS" w:hAnsi="Arial Unicode MS" w:hint="eastAsia"/>
                <w:color w:val="990000"/>
              </w:rPr>
              <w:t>修正日期</w:t>
            </w:r>
            <w:r w:rsidR="00B969D9" w:rsidRPr="00064C39">
              <w:rPr>
                <w:rFonts w:ascii="Arial Unicode MS" w:hAnsi="Arial Unicode MS"/>
                <w:color w:val="990000"/>
              </w:rPr>
              <w:t>】</w:t>
            </w:r>
            <w:r w:rsidR="00B969D9" w:rsidRPr="00995AAE">
              <w:rPr>
                <w:rFonts w:ascii="Arial Unicode MS" w:hAnsi="Arial Unicode MS" w:hint="eastAsia"/>
                <w:color w:val="990000"/>
              </w:rPr>
              <w:t>民國</w:t>
            </w:r>
            <w:r w:rsidR="00B969D9">
              <w:rPr>
                <w:rFonts w:ascii="Arial Unicode MS" w:hAnsi="Arial Unicode MS" w:hint="eastAsia"/>
                <w:color w:val="990000"/>
              </w:rPr>
              <w:t>10</w:t>
            </w:r>
            <w:r w:rsidR="00B969D9">
              <w:rPr>
                <w:rFonts w:ascii="Arial Unicode MS" w:hAnsi="Arial Unicode MS"/>
                <w:color w:val="990000"/>
              </w:rPr>
              <w:t>7</w:t>
            </w:r>
            <w:r w:rsidR="00B969D9" w:rsidRPr="00995AAE">
              <w:rPr>
                <w:rFonts w:ascii="Arial Unicode MS" w:hAnsi="Arial Unicode MS" w:hint="eastAsia"/>
                <w:color w:val="990000"/>
              </w:rPr>
              <w:t>年</w:t>
            </w:r>
            <w:r w:rsidR="00B969D9">
              <w:rPr>
                <w:rFonts w:ascii="Arial Unicode MS" w:hAnsi="Arial Unicode MS"/>
                <w:color w:val="990000"/>
              </w:rPr>
              <w:t>12</w:t>
            </w:r>
            <w:r w:rsidR="00B969D9" w:rsidRPr="00995AAE">
              <w:rPr>
                <w:rFonts w:ascii="Arial Unicode MS" w:hAnsi="Arial Unicode MS" w:hint="eastAsia"/>
                <w:color w:val="990000"/>
              </w:rPr>
              <w:t>月</w:t>
            </w:r>
            <w:r w:rsidR="00B969D9">
              <w:rPr>
                <w:rFonts w:ascii="Arial Unicode MS" w:hAnsi="Arial Unicode MS" w:hint="eastAsia"/>
                <w:color w:val="990000"/>
              </w:rPr>
              <w:t>14</w:t>
            </w:r>
            <w:r w:rsidR="00B969D9" w:rsidRPr="00995AAE">
              <w:rPr>
                <w:rFonts w:ascii="Arial Unicode MS" w:hAnsi="Arial Unicode MS" w:hint="eastAsia"/>
                <w:color w:val="990000"/>
              </w:rPr>
              <w:t>日</w:t>
            </w:r>
          </w:p>
          <w:p w:rsidR="00C9472E" w:rsidRPr="006839A5" w:rsidRDefault="00B969D9" w:rsidP="00B969D9">
            <w:pPr>
              <w:ind w:leftChars="-6" w:left="-12"/>
              <w:jc w:val="both"/>
              <w:rPr>
                <w:rFonts w:ascii="Arial Unicode MS" w:hAnsi="Arial Unicode MS"/>
                <w:color w:val="800000"/>
              </w:rPr>
            </w:pPr>
            <w:r w:rsidRPr="00995AAE">
              <w:rPr>
                <w:rFonts w:ascii="Arial Unicode MS" w:hAnsi="Arial Unicode MS"/>
                <w:color w:val="990000"/>
              </w:rPr>
              <w:t>【</w:t>
            </w:r>
            <w:r w:rsidRPr="00995AAE">
              <w:rPr>
                <w:rFonts w:ascii="Arial Unicode MS" w:hAnsi="Arial Unicode MS" w:hint="eastAsia"/>
                <w:color w:val="990000"/>
              </w:rPr>
              <w:t>公布日期</w:t>
            </w:r>
            <w:r w:rsidRPr="00995AAE">
              <w:rPr>
                <w:rFonts w:ascii="Arial Unicode MS" w:hAnsi="Arial Unicode MS"/>
                <w:color w:val="990000"/>
              </w:rPr>
              <w:t>】</w:t>
            </w:r>
            <w:r w:rsidRPr="00995AAE">
              <w:rPr>
                <w:rFonts w:ascii="Arial Unicode MS" w:hAnsi="Arial Unicode MS" w:hint="eastAsia"/>
                <w:color w:val="990000"/>
              </w:rPr>
              <w:t>民國</w:t>
            </w:r>
            <w:r>
              <w:rPr>
                <w:rFonts w:ascii="Arial Unicode MS" w:hAnsi="Arial Unicode MS" w:hint="eastAsia"/>
                <w:color w:val="990000"/>
              </w:rPr>
              <w:t>108</w:t>
            </w:r>
            <w:r w:rsidRPr="00995AAE">
              <w:rPr>
                <w:rFonts w:ascii="Arial Unicode MS" w:hAnsi="Arial Unicode MS" w:hint="eastAsia"/>
                <w:color w:val="990000"/>
              </w:rPr>
              <w:t>年</w:t>
            </w:r>
            <w:r>
              <w:rPr>
                <w:rFonts w:ascii="Arial Unicode MS" w:hAnsi="Arial Unicode MS"/>
                <w:color w:val="990000"/>
              </w:rPr>
              <w:t>1</w:t>
            </w:r>
            <w:r w:rsidRPr="00995AAE">
              <w:rPr>
                <w:rFonts w:ascii="Arial Unicode MS" w:hAnsi="Arial Unicode MS" w:hint="eastAsia"/>
                <w:color w:val="990000"/>
              </w:rPr>
              <w:t>月</w:t>
            </w:r>
            <w:r>
              <w:rPr>
                <w:rFonts w:ascii="Arial Unicode MS" w:hAnsi="Arial Unicode MS" w:hint="eastAsia"/>
                <w:color w:val="990000"/>
              </w:rPr>
              <w:t>2</w:t>
            </w:r>
            <w:r w:rsidRPr="00995AAE">
              <w:rPr>
                <w:rFonts w:ascii="Arial Unicode MS" w:hAnsi="Arial Unicode MS" w:hint="eastAsia"/>
                <w:color w:val="990000"/>
              </w:rPr>
              <w:t>日</w:t>
            </w:r>
          </w:p>
        </w:tc>
      </w:tr>
    </w:tbl>
    <w:p w:rsidR="00C07A62" w:rsidRPr="006839A5" w:rsidRDefault="00051984" w:rsidP="00051984">
      <w:pPr>
        <w:jc w:val="center"/>
        <w:rPr>
          <w:rFonts w:ascii="Arial Unicode MS" w:hAnsi="Arial Unicode MS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2" w:anchor="血液製劑條例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="00F8357A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="00F8357A">
        <w:rPr>
          <w:rFonts w:ascii="Arial Unicode MS" w:hAnsi="Arial Unicode MS" w:hint="eastAsia"/>
          <w:b/>
          <w:color w:val="5F5F5F"/>
          <w:sz w:val="18"/>
        </w:rPr>
        <w:t>〉〉</w:t>
      </w:r>
    </w:p>
    <w:p w:rsidR="00C9472E" w:rsidRPr="00683A60" w:rsidRDefault="00C9472E" w:rsidP="00683A60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683A60">
        <w:rPr>
          <w:color w:val="990000"/>
        </w:rPr>
        <w:t>【</w:t>
      </w:r>
      <w:r w:rsidRPr="00683A60">
        <w:rPr>
          <w:rFonts w:hint="eastAsia"/>
          <w:color w:val="990000"/>
        </w:rPr>
        <w:t>法規沿革</w:t>
      </w:r>
      <w:r w:rsidRPr="00683A60">
        <w:rPr>
          <w:color w:val="990000"/>
        </w:rPr>
        <w:t>】</w:t>
      </w:r>
      <w:bookmarkStart w:id="1" w:name="_GoBack"/>
      <w:bookmarkEnd w:id="1"/>
    </w:p>
    <w:p w:rsidR="00C9472E" w:rsidRDefault="00C9472E" w:rsidP="00683A60">
      <w:pPr>
        <w:ind w:leftChars="60" w:left="158" w:hangingChars="21" w:hanging="38"/>
        <w:jc w:val="both"/>
        <w:rPr>
          <w:rFonts w:ascii="Arial Unicode MS" w:hAnsi="Arial Unicode MS"/>
          <w:color w:val="666699"/>
          <w:sz w:val="18"/>
        </w:rPr>
      </w:pPr>
      <w:r w:rsidRPr="00683A60">
        <w:rPr>
          <w:rFonts w:ascii="Arial Unicode MS" w:hAnsi="Arial Unicode MS" w:hint="eastAsia"/>
          <w:b/>
          <w:color w:val="666699"/>
          <w:sz w:val="18"/>
        </w:rPr>
        <w:t>1</w:t>
      </w:r>
      <w:r w:rsidR="009E6AEF">
        <w:rPr>
          <w:rFonts w:ascii="Arial Unicode MS" w:hAnsi="Arial Unicode MS" w:hint="eastAsia"/>
          <w:b/>
          <w:color w:val="666699"/>
          <w:sz w:val="18"/>
        </w:rPr>
        <w:t>‧</w:t>
      </w:r>
      <w:r w:rsidRPr="006839A5">
        <w:rPr>
          <w:rFonts w:ascii="Arial Unicode MS" w:hAnsi="Arial Unicode MS"/>
          <w:color w:val="666699"/>
          <w:sz w:val="18"/>
        </w:rPr>
        <w:t>中華民國九十四年一月十九日總統華總一義字第</w:t>
      </w:r>
      <w:r w:rsidRPr="006839A5">
        <w:rPr>
          <w:rFonts w:ascii="Arial Unicode MS" w:hAnsi="Arial Unicode MS"/>
          <w:color w:val="666699"/>
          <w:sz w:val="18"/>
        </w:rPr>
        <w:t>09400004941</w:t>
      </w:r>
      <w:r w:rsidRPr="006839A5">
        <w:rPr>
          <w:rFonts w:ascii="Arial Unicode MS" w:hAnsi="Arial Unicode MS"/>
          <w:color w:val="666699"/>
          <w:sz w:val="18"/>
        </w:rPr>
        <w:t>號令制定公布全文</w:t>
      </w:r>
      <w:r w:rsidRPr="006839A5">
        <w:rPr>
          <w:rFonts w:ascii="Arial Unicode MS" w:hAnsi="Arial Unicode MS"/>
          <w:color w:val="666699"/>
          <w:sz w:val="18"/>
        </w:rPr>
        <w:t>19</w:t>
      </w:r>
      <w:r w:rsidRPr="006839A5">
        <w:rPr>
          <w:rFonts w:ascii="Arial Unicode MS" w:hAnsi="Arial Unicode MS"/>
          <w:color w:val="666699"/>
          <w:sz w:val="18"/>
        </w:rPr>
        <w:t>條；並自公布後一年施行</w:t>
      </w:r>
    </w:p>
    <w:p w:rsidR="003B419F" w:rsidRDefault="000C2FB8" w:rsidP="000C2FB8">
      <w:pPr>
        <w:ind w:leftChars="60" w:left="158" w:hangingChars="21" w:hanging="38"/>
        <w:jc w:val="both"/>
        <w:rPr>
          <w:rFonts w:ascii="Arial Unicode MS" w:hAnsi="Arial Unicode MS"/>
          <w:bCs/>
          <w:color w:val="666699"/>
          <w:sz w:val="18"/>
        </w:rPr>
      </w:pPr>
      <w:r w:rsidRPr="000C2FB8">
        <w:rPr>
          <w:rFonts w:ascii="Arial Unicode MS" w:hAnsi="Arial Unicode MS" w:hint="eastAsia"/>
          <w:bCs/>
          <w:color w:val="666699"/>
          <w:sz w:val="18"/>
        </w:rPr>
        <w:t xml:space="preserve">　中華民國一百零二年七月十九日行政院院臺規字第</w:t>
      </w:r>
      <w:r w:rsidRPr="000C2FB8">
        <w:rPr>
          <w:rFonts w:ascii="Arial Unicode MS" w:hAnsi="Arial Unicode MS" w:hint="eastAsia"/>
          <w:bCs/>
          <w:color w:val="666699"/>
          <w:sz w:val="18"/>
        </w:rPr>
        <w:t>1020141353</w:t>
      </w:r>
      <w:r w:rsidRPr="000C2FB8">
        <w:rPr>
          <w:rFonts w:ascii="Arial Unicode MS" w:hAnsi="Arial Unicode MS" w:hint="eastAsia"/>
          <w:bCs/>
          <w:color w:val="666699"/>
          <w:sz w:val="18"/>
        </w:rPr>
        <w:t>號公告</w:t>
      </w:r>
      <w:hyperlink w:anchor="a2" w:history="1">
        <w:r w:rsidRPr="000C2FB8">
          <w:rPr>
            <w:rStyle w:val="a3"/>
            <w:rFonts w:ascii="Arial Unicode MS" w:hAnsi="Arial Unicode MS" w:hint="eastAsia"/>
            <w:bCs/>
            <w:sz w:val="18"/>
          </w:rPr>
          <w:t>第</w:t>
        </w:r>
        <w:r w:rsidRPr="000C2FB8">
          <w:rPr>
            <w:rStyle w:val="a3"/>
            <w:rFonts w:ascii="Arial Unicode MS" w:hAnsi="Arial Unicode MS" w:hint="eastAsia"/>
            <w:bCs/>
            <w:sz w:val="18"/>
          </w:rPr>
          <w:t>2</w:t>
        </w:r>
        <w:r w:rsidRPr="000C2FB8">
          <w:rPr>
            <w:rStyle w:val="a3"/>
            <w:rFonts w:ascii="Arial Unicode MS" w:hAnsi="Arial Unicode MS" w:hint="eastAsia"/>
            <w:bCs/>
            <w:sz w:val="18"/>
          </w:rPr>
          <w:t>條</w:t>
        </w:r>
      </w:hyperlink>
      <w:r w:rsidRPr="000C2FB8">
        <w:rPr>
          <w:rFonts w:ascii="Arial Unicode MS" w:hAnsi="Arial Unicode MS" w:hint="eastAsia"/>
          <w:bCs/>
          <w:color w:val="666699"/>
          <w:sz w:val="18"/>
        </w:rPr>
        <w:t>所列屬「行政院衛生署」之權責事項，自一百零二年七月二十三日起改由「衛生福利部」管轄</w:t>
      </w:r>
    </w:p>
    <w:p w:rsidR="008544D9" w:rsidRPr="003B419F" w:rsidRDefault="003B419F" w:rsidP="000C2FB8">
      <w:pPr>
        <w:ind w:leftChars="60" w:left="158" w:hangingChars="21" w:hanging="38"/>
        <w:jc w:val="both"/>
        <w:rPr>
          <w:rFonts w:ascii="Arial Unicode MS" w:hAnsi="Arial Unicode MS"/>
          <w:b/>
          <w:bCs/>
          <w:color w:val="666699"/>
          <w:sz w:val="18"/>
        </w:rPr>
      </w:pPr>
      <w:r>
        <w:rPr>
          <w:rFonts w:ascii="Arial Unicode MS" w:hAnsi="Arial Unicode MS" w:hint="eastAsia"/>
          <w:b/>
          <w:color w:val="666699"/>
          <w:sz w:val="18"/>
        </w:rPr>
        <w:t>2</w:t>
      </w:r>
      <w:r>
        <w:rPr>
          <w:rFonts w:ascii="Arial Unicode MS" w:hAnsi="Arial Unicode MS" w:hint="eastAsia"/>
          <w:b/>
          <w:color w:val="666699"/>
          <w:sz w:val="18"/>
        </w:rPr>
        <w:t>‧</w:t>
      </w:r>
      <w:r w:rsidRPr="003B419F">
        <w:rPr>
          <w:rFonts w:ascii="Arial Unicode MS" w:hAnsi="Arial Unicode MS" w:hint="eastAsia"/>
          <w:bCs/>
          <w:color w:val="666699"/>
          <w:sz w:val="18"/>
        </w:rPr>
        <w:t>中華民國一百零八年一月二日總統華總一義字第</w:t>
      </w:r>
      <w:r w:rsidRPr="003B419F">
        <w:rPr>
          <w:rFonts w:ascii="Arial Unicode MS" w:hAnsi="Arial Unicode MS" w:hint="eastAsia"/>
          <w:bCs/>
          <w:color w:val="666699"/>
          <w:sz w:val="18"/>
        </w:rPr>
        <w:t>10700143911</w:t>
      </w:r>
      <w:r w:rsidRPr="003B419F">
        <w:rPr>
          <w:rFonts w:ascii="Arial Unicode MS" w:hAnsi="Arial Unicode MS" w:hint="eastAsia"/>
          <w:bCs/>
          <w:color w:val="666699"/>
          <w:sz w:val="18"/>
        </w:rPr>
        <w:t>號令修正公布</w:t>
      </w:r>
      <w:hyperlink w:anchor="a2" w:history="1">
        <w:r w:rsidRPr="003B419F">
          <w:rPr>
            <w:rStyle w:val="a3"/>
            <w:rFonts w:ascii="Arial Unicode MS" w:hAnsi="Arial Unicode MS" w:hint="eastAsia"/>
            <w:bCs/>
            <w:sz w:val="18"/>
          </w:rPr>
          <w:t>第</w:t>
        </w:r>
        <w:r w:rsidRPr="003B419F">
          <w:rPr>
            <w:rStyle w:val="a3"/>
            <w:rFonts w:ascii="Arial Unicode MS" w:hAnsi="Arial Unicode MS" w:hint="eastAsia"/>
            <w:bCs/>
            <w:sz w:val="18"/>
          </w:rPr>
          <w:t>2</w:t>
        </w:r>
        <w:r w:rsidRPr="003B419F">
          <w:rPr>
            <w:rStyle w:val="a3"/>
            <w:rFonts w:ascii="Arial Unicode MS" w:hAnsi="Arial Unicode MS" w:hint="eastAsia"/>
            <w:bCs/>
            <w:sz w:val="18"/>
          </w:rPr>
          <w:t>條</w:t>
        </w:r>
      </w:hyperlink>
      <w:r w:rsidRPr="003B419F">
        <w:rPr>
          <w:rFonts w:ascii="Arial Unicode MS" w:hAnsi="Arial Unicode MS" w:hint="eastAsia"/>
          <w:bCs/>
          <w:color w:val="666699"/>
          <w:sz w:val="18"/>
        </w:rPr>
        <w:t>條文</w:t>
      </w:r>
    </w:p>
    <w:p w:rsidR="00C9472E" w:rsidRPr="000C2FB8" w:rsidRDefault="00C9472E" w:rsidP="00EC670E">
      <w:pPr>
        <w:ind w:leftChars="75" w:left="150"/>
        <w:jc w:val="both"/>
        <w:rPr>
          <w:rFonts w:ascii="Arial Unicode MS" w:hAnsi="Arial Unicode MS"/>
          <w:b/>
          <w:bCs/>
          <w:color w:val="800000"/>
        </w:rPr>
      </w:pPr>
    </w:p>
    <w:p w:rsidR="00C9472E" w:rsidRPr="00683A60" w:rsidRDefault="00C9472E" w:rsidP="00683A60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683A60">
        <w:rPr>
          <w:color w:val="990000"/>
        </w:rPr>
        <w:t>【</w:t>
      </w:r>
      <w:r w:rsidRPr="00683A60">
        <w:rPr>
          <w:rFonts w:hint="eastAsia"/>
          <w:color w:val="990000"/>
        </w:rPr>
        <w:t>法規內容</w:t>
      </w:r>
      <w:r w:rsidRPr="00683A60">
        <w:rPr>
          <w:color w:val="990000"/>
        </w:rPr>
        <w:t>】</w:t>
      </w:r>
    </w:p>
    <w:p w:rsidR="00C9472E" w:rsidRPr="00683A60" w:rsidRDefault="00051984" w:rsidP="00683A60">
      <w:pPr>
        <w:pStyle w:val="2"/>
      </w:pPr>
      <w:r>
        <w:t>第</w:t>
      </w:r>
      <w:r>
        <w:t>1</w:t>
      </w:r>
      <w:r>
        <w:t>條</w:t>
      </w:r>
      <w:r w:rsidR="006839A5" w:rsidRPr="00683A60">
        <w:t>（</w:t>
      </w:r>
      <w:r w:rsidR="00C9472E" w:rsidRPr="00683A60">
        <w:t>立法目的</w:t>
      </w:r>
      <w:r w:rsidR="006839A5" w:rsidRPr="00683A60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為提昇血液製劑之安全與品質及確保其穩定供應，以維護國民健康，特制定本條例。本條例未規定者，依</w:t>
      </w:r>
      <w:hyperlink r:id="rId14" w:history="1">
        <w:r w:rsidRPr="00E37DFB">
          <w:rPr>
            <w:rStyle w:val="a3"/>
          </w:rPr>
          <w:t>醫療法</w:t>
        </w:r>
      </w:hyperlink>
      <w:r w:rsidRPr="00E37DFB">
        <w:rPr>
          <w:rFonts w:ascii="Arial Unicode MS" w:hAnsi="Arial Unicode MS"/>
          <w:color w:val="17365D"/>
        </w:rPr>
        <w:t>、</w:t>
      </w:r>
      <w:hyperlink r:id="rId15" w:history="1">
        <w:r w:rsidRPr="00E37DFB">
          <w:rPr>
            <w:rStyle w:val="a3"/>
          </w:rPr>
          <w:t>藥事法</w:t>
        </w:r>
      </w:hyperlink>
      <w:r w:rsidRPr="00E37DFB">
        <w:rPr>
          <w:rFonts w:ascii="Arial Unicode MS" w:hAnsi="Arial Unicode MS"/>
          <w:color w:val="17365D"/>
        </w:rPr>
        <w:t>及其他相關法律之規定。</w:t>
      </w:r>
    </w:p>
    <w:p w:rsidR="00C9472E" w:rsidRDefault="00051984" w:rsidP="00683A60">
      <w:pPr>
        <w:pStyle w:val="2"/>
      </w:pPr>
      <w:bookmarkStart w:id="2" w:name="a2"/>
      <w:bookmarkEnd w:id="2"/>
      <w:r>
        <w:t>第</w:t>
      </w:r>
      <w:r>
        <w:t>2</w:t>
      </w:r>
      <w:r>
        <w:t>條</w:t>
      </w:r>
      <w:r w:rsidR="006839A5">
        <w:t>（</w:t>
      </w:r>
      <w:r w:rsidR="00C9472E" w:rsidRPr="006839A5">
        <w:t>主管機關</w:t>
      </w:r>
      <w:r w:rsidR="006839A5">
        <w:t>）</w:t>
      </w:r>
      <w:r w:rsidR="00260CB3" w:rsidRPr="008362E8">
        <w:rPr>
          <w:rFonts w:hint="eastAsia"/>
          <w:color w:val="FFFFFF"/>
        </w:rPr>
        <w:t>∵</w:t>
      </w:r>
    </w:p>
    <w:p w:rsidR="003B419F" w:rsidRPr="003B70E6" w:rsidRDefault="003B419F" w:rsidP="003B419F">
      <w:pPr>
        <w:ind w:left="142"/>
        <w:rPr>
          <w:color w:val="17365D"/>
        </w:rPr>
      </w:pPr>
      <w:r w:rsidRPr="003B70E6">
        <w:rPr>
          <w:rFonts w:hint="eastAsia"/>
          <w:color w:val="17365D"/>
        </w:rPr>
        <w:t xml:space="preserve">　　本條例所稱主管機關：在中央為衛生福利部；在直轄市為直轄市政府；在縣（市）為縣（市）政府。</w:t>
      </w:r>
    </w:p>
    <w:p w:rsidR="003B419F" w:rsidRPr="00BB72AA" w:rsidRDefault="00BB72AA" w:rsidP="00BB72AA">
      <w:pPr>
        <w:pStyle w:val="3"/>
      </w:pPr>
      <w:r w:rsidRPr="00BB72AA">
        <w:rPr>
          <w:rFonts w:hint="eastAsia"/>
        </w:rPr>
        <w:t>--108</w:t>
      </w:r>
      <w:r w:rsidRPr="00BB72AA">
        <w:rPr>
          <w:rFonts w:hint="eastAsia"/>
        </w:rPr>
        <w:t>年</w:t>
      </w:r>
      <w:r w:rsidRPr="00BB72AA">
        <w:rPr>
          <w:rFonts w:hint="eastAsia"/>
        </w:rPr>
        <w:t>1</w:t>
      </w:r>
      <w:r w:rsidRPr="00BB72AA">
        <w:rPr>
          <w:rFonts w:hint="eastAsia"/>
        </w:rPr>
        <w:t>月</w:t>
      </w:r>
      <w:r w:rsidRPr="00BB72AA">
        <w:rPr>
          <w:rFonts w:hint="eastAsia"/>
        </w:rPr>
        <w:t>2</w:t>
      </w:r>
      <w:r w:rsidRPr="00BB72AA">
        <w:rPr>
          <w:rFonts w:hint="eastAsia"/>
        </w:rPr>
        <w:t>日修正前條文</w:t>
      </w:r>
      <w:r w:rsidRPr="00BB72AA">
        <w:rPr>
          <w:rFonts w:hint="eastAsia"/>
        </w:rPr>
        <w:t>--</w:t>
      </w:r>
      <w:hyperlink r:id="rId16" w:history="1">
        <w:r w:rsidRPr="00BB72AA">
          <w:rPr>
            <w:rStyle w:val="a6"/>
          </w:rPr>
          <w:t>比對程式</w:t>
        </w:r>
      </w:hyperlink>
    </w:p>
    <w:p w:rsidR="00C9472E" w:rsidRPr="003B419F" w:rsidRDefault="00C9472E" w:rsidP="00EC670E">
      <w:pPr>
        <w:ind w:leftChars="75" w:left="150"/>
        <w:jc w:val="both"/>
        <w:rPr>
          <w:rFonts w:ascii="Arial Unicode MS" w:hAnsi="Arial Unicode MS"/>
          <w:color w:val="5F5F5F"/>
        </w:rPr>
      </w:pPr>
      <w:r w:rsidRPr="003B419F">
        <w:rPr>
          <w:rFonts w:ascii="Arial Unicode MS" w:hAnsi="Arial Unicode MS"/>
          <w:color w:val="5F5F5F"/>
        </w:rPr>
        <w:t xml:space="preserve">　　本條例所稱主管機關：在中央為行政院衛生署；在直轄市為直轄市政府；在縣</w:t>
      </w:r>
      <w:r w:rsidR="006839A5" w:rsidRPr="003B419F">
        <w:rPr>
          <w:rFonts w:ascii="Arial Unicode MS" w:hAnsi="Arial Unicode MS"/>
          <w:color w:val="5F5F5F"/>
        </w:rPr>
        <w:t>（</w:t>
      </w:r>
      <w:r w:rsidRPr="003B419F">
        <w:rPr>
          <w:rFonts w:ascii="Arial Unicode MS" w:hAnsi="Arial Unicode MS"/>
          <w:color w:val="5F5F5F"/>
        </w:rPr>
        <w:t>市</w:t>
      </w:r>
      <w:r w:rsidR="006839A5" w:rsidRPr="003B419F">
        <w:rPr>
          <w:rFonts w:ascii="Arial Unicode MS" w:hAnsi="Arial Unicode MS"/>
          <w:color w:val="5F5F5F"/>
        </w:rPr>
        <w:t>）</w:t>
      </w:r>
      <w:r w:rsidRPr="003B419F">
        <w:rPr>
          <w:rFonts w:ascii="Arial Unicode MS" w:hAnsi="Arial Unicode MS"/>
          <w:color w:val="5F5F5F"/>
        </w:rPr>
        <w:t>為縣</w:t>
      </w:r>
      <w:r w:rsidR="006839A5" w:rsidRPr="003B419F">
        <w:rPr>
          <w:rFonts w:ascii="Arial Unicode MS" w:hAnsi="Arial Unicode MS"/>
          <w:color w:val="5F5F5F"/>
        </w:rPr>
        <w:t>（</w:t>
      </w:r>
      <w:r w:rsidRPr="003B419F">
        <w:rPr>
          <w:rFonts w:ascii="Arial Unicode MS" w:hAnsi="Arial Unicode MS"/>
          <w:color w:val="5F5F5F"/>
        </w:rPr>
        <w:t>市</w:t>
      </w:r>
      <w:r w:rsidR="006839A5" w:rsidRPr="003B419F">
        <w:rPr>
          <w:rFonts w:ascii="Arial Unicode MS" w:hAnsi="Arial Unicode MS"/>
          <w:color w:val="5F5F5F"/>
        </w:rPr>
        <w:t>）</w:t>
      </w:r>
      <w:r w:rsidRPr="003B419F">
        <w:rPr>
          <w:rFonts w:ascii="Arial Unicode MS" w:hAnsi="Arial Unicode MS"/>
          <w:color w:val="5F5F5F"/>
        </w:rPr>
        <w:t>政府。</w:t>
      </w:r>
      <w:r w:rsidR="00260CB3" w:rsidRPr="00260CB3">
        <w:rPr>
          <w:rFonts w:hint="eastAsia"/>
          <w:color w:val="FFFFFF"/>
        </w:rPr>
        <w:t>∴</w:t>
      </w:r>
    </w:p>
    <w:p w:rsidR="00C9472E" w:rsidRPr="006839A5" w:rsidRDefault="00051984" w:rsidP="00683A60">
      <w:pPr>
        <w:pStyle w:val="2"/>
      </w:pPr>
      <w:bookmarkStart w:id="3" w:name="a3"/>
      <w:bookmarkEnd w:id="3"/>
      <w:r>
        <w:t>第</w:t>
      </w:r>
      <w:r>
        <w:t>3</w:t>
      </w:r>
      <w:r>
        <w:t>條</w:t>
      </w:r>
      <w:r w:rsidR="006839A5">
        <w:t>（</w:t>
      </w:r>
      <w:r w:rsidR="00C9472E" w:rsidRPr="006839A5">
        <w:rPr>
          <w:szCs w:val="20"/>
        </w:rPr>
        <w:t>血液製劑</w:t>
      </w:r>
      <w:r w:rsidR="006839A5">
        <w:rPr>
          <w:szCs w:val="20"/>
        </w:rPr>
        <w:t>）</w:t>
      </w:r>
    </w:p>
    <w:p w:rsidR="00C9472E" w:rsidRPr="003B419F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3B419F">
        <w:rPr>
          <w:rFonts w:ascii="Arial Unicode MS" w:hAnsi="Arial Unicode MS"/>
          <w:color w:val="17365D"/>
        </w:rPr>
        <w:t xml:space="preserve">　　本條例所稱血液製劑，指以人類血液經加工調製，製成一定劑型及劑量之藥品。</w:t>
      </w:r>
    </w:p>
    <w:p w:rsidR="00C9472E" w:rsidRPr="006839A5" w:rsidRDefault="00051984" w:rsidP="00683A60">
      <w:pPr>
        <w:pStyle w:val="2"/>
      </w:pPr>
      <w:bookmarkStart w:id="4" w:name="a4"/>
      <w:bookmarkEnd w:id="4"/>
      <w:r>
        <w:t>第</w:t>
      </w:r>
      <w:r>
        <w:t>4</w:t>
      </w:r>
      <w:r>
        <w:t>條</w:t>
      </w:r>
      <w:r w:rsidR="006839A5">
        <w:t>（</w:t>
      </w:r>
      <w:r w:rsidR="00C9472E" w:rsidRPr="006839A5">
        <w:t>血液製劑原料來源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血液製劑原料，應以國內捐血而得。但國內原料供應不足時，血液製劑製造業者得經中央主管機關核准，自國外輸入。</w:t>
      </w:r>
    </w:p>
    <w:p w:rsidR="00C9472E" w:rsidRPr="006839A5" w:rsidRDefault="00051984" w:rsidP="00683A60">
      <w:pPr>
        <w:pStyle w:val="2"/>
      </w:pPr>
      <w:r>
        <w:t>第</w:t>
      </w:r>
      <w:r>
        <w:t>5</w:t>
      </w:r>
      <w:r>
        <w:t>條</w:t>
      </w:r>
      <w:r w:rsidR="006839A5">
        <w:t>（</w:t>
      </w:r>
      <w:r w:rsidR="00C9472E" w:rsidRPr="006839A5">
        <w:t>積極推行捐血教育及宣導措施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主管機關為達到血液製劑之國內自製自給，應積極推行捐血教育及宣導措施，鼓勵民眾捐血。</w:t>
      </w:r>
    </w:p>
    <w:p w:rsidR="00C9472E" w:rsidRPr="006839A5" w:rsidRDefault="00051984" w:rsidP="00683A60">
      <w:pPr>
        <w:pStyle w:val="2"/>
      </w:pPr>
      <w:r>
        <w:t>第</w:t>
      </w:r>
      <w:r>
        <w:t>6</w:t>
      </w:r>
      <w:r>
        <w:t>條</w:t>
      </w:r>
      <w:r w:rsidR="006839A5">
        <w:t>（</w:t>
      </w:r>
      <w:r w:rsidR="00C9472E" w:rsidRPr="006839A5">
        <w:t>血液製劑發展方案之訂定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中央主管機關為確保血液製劑安全、品質及穩定供應，並促進血液製劑安全性技術之研發及發展國內血液製劑產業，應訂定血液製劑發展方案。</w:t>
      </w:r>
    </w:p>
    <w:p w:rsidR="00C9472E" w:rsidRPr="006839A5" w:rsidRDefault="00051984" w:rsidP="00683A60">
      <w:pPr>
        <w:pStyle w:val="2"/>
      </w:pPr>
      <w:r>
        <w:t>第</w:t>
      </w:r>
      <w:r>
        <w:t>7</w:t>
      </w:r>
      <w:r>
        <w:t>條</w:t>
      </w:r>
      <w:r w:rsidR="006839A5">
        <w:t>（</w:t>
      </w:r>
      <w:r w:rsidR="00C9472E" w:rsidRPr="006839A5">
        <w:t>推展捐血工作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捐血機構應致力推展捐血工作，提昇血液製劑原料安全，協助確保穩定供應及採行保護捐血者健康措施。</w:t>
      </w:r>
    </w:p>
    <w:p w:rsidR="00C9472E" w:rsidRPr="006839A5" w:rsidRDefault="00051984" w:rsidP="00683A60">
      <w:pPr>
        <w:pStyle w:val="2"/>
      </w:pPr>
      <w:r>
        <w:t>第</w:t>
      </w:r>
      <w:r>
        <w:t>8</w:t>
      </w:r>
      <w:r>
        <w:t>條</w:t>
      </w:r>
      <w:r w:rsidR="006839A5">
        <w:t>（</w:t>
      </w:r>
      <w:r w:rsidR="00C9472E" w:rsidRPr="006839A5">
        <w:t>製劑應符合藥品優良製造規範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血液製劑製造業者，應符合藥品優良製造規範，提供安全及優良品質之血液製劑。</w:t>
      </w:r>
    </w:p>
    <w:p w:rsidR="00C9472E" w:rsidRPr="006839A5" w:rsidRDefault="00051984" w:rsidP="00683A60">
      <w:pPr>
        <w:pStyle w:val="2"/>
      </w:pPr>
      <w:r>
        <w:lastRenderedPageBreak/>
        <w:t>第</w:t>
      </w:r>
      <w:r>
        <w:t>9</w:t>
      </w:r>
      <w:r>
        <w:t>條</w:t>
      </w:r>
      <w:r w:rsidR="006839A5">
        <w:t>（</w:t>
      </w:r>
      <w:r w:rsidR="00C9472E" w:rsidRPr="006839A5">
        <w:t>優先使用國內捐血製造之血液製劑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醫療機構、醫師使用血液製劑時，應優先使用國內捐血製造之血液製劑，並提供病人血液製劑之用藥資訊。</w:t>
      </w:r>
    </w:p>
    <w:p w:rsidR="00C9472E" w:rsidRPr="00E37DFB" w:rsidRDefault="00EC670E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E37DFB">
        <w:rPr>
          <w:rFonts w:ascii="Arial Unicode MS" w:hAnsi="Arial Unicode MS"/>
          <w:color w:val="666699"/>
        </w:rPr>
        <w:t xml:space="preserve">　　</w:t>
      </w:r>
      <w:r w:rsidR="00C9472E" w:rsidRPr="00E37DFB">
        <w:rPr>
          <w:rFonts w:ascii="Arial Unicode MS" w:hAnsi="Arial Unicode MS"/>
          <w:color w:val="666699"/>
        </w:rPr>
        <w:t>為尊重病人使用之意願，以其他原料、方法或基因工程所製成之製劑，使用時不受前項規定之限制。</w:t>
      </w:r>
    </w:p>
    <w:p w:rsidR="00C9472E" w:rsidRPr="006839A5" w:rsidRDefault="00051984" w:rsidP="00683A60">
      <w:pPr>
        <w:pStyle w:val="2"/>
        <w:rPr>
          <w:color w:val="800000"/>
        </w:rPr>
      </w:pPr>
      <w:bookmarkStart w:id="5" w:name="a10"/>
      <w:bookmarkEnd w:id="5"/>
      <w:r>
        <w:rPr>
          <w:color w:val="800000"/>
        </w:rPr>
        <w:t>第</w:t>
      </w:r>
      <w:r>
        <w:rPr>
          <w:color w:val="800000"/>
        </w:rPr>
        <w:t>10</w:t>
      </w:r>
      <w:r>
        <w:rPr>
          <w:color w:val="800000"/>
        </w:rPr>
        <w:t>條</w:t>
      </w:r>
      <w:r w:rsidR="006839A5">
        <w:rPr>
          <w:color w:val="800000"/>
        </w:rPr>
        <w:t>（</w:t>
      </w:r>
      <w:r w:rsidR="00C9472E" w:rsidRPr="006839A5">
        <w:rPr>
          <w:color w:val="800000"/>
        </w:rPr>
        <w:t>年度採集血液計畫</w:t>
      </w:r>
      <w:r w:rsidR="006839A5">
        <w:rPr>
          <w:color w:val="800000"/>
        </w:rPr>
        <w:t>）</w:t>
      </w:r>
      <w:r w:rsidR="004A17DB" w:rsidRPr="00683A60">
        <w:rPr>
          <w:rFonts w:hint="eastAsia"/>
          <w:color w:val="5F5F5F"/>
          <w:sz w:val="18"/>
        </w:rPr>
        <w:t>【相關罰則】</w:t>
      </w:r>
      <w:hyperlink w:anchor="a16" w:history="1">
        <w:r w:rsidR="004A17DB" w:rsidRPr="00683A60">
          <w:rPr>
            <w:rStyle w:val="a3"/>
            <w:rFonts w:ascii="Arial Unicode MS" w:hAnsi="Arial Unicode MS" w:hint="eastAsia"/>
            <w:color w:val="5F5F5F"/>
            <w:sz w:val="18"/>
            <w:szCs w:val="20"/>
          </w:rPr>
          <w:t>§</w:t>
        </w:r>
        <w:r w:rsidR="004A17DB" w:rsidRPr="00683A60">
          <w:rPr>
            <w:rStyle w:val="a3"/>
            <w:rFonts w:ascii="Arial Unicode MS" w:hAnsi="Arial Unicode MS" w:hint="eastAsia"/>
            <w:color w:val="5F5F5F"/>
            <w:sz w:val="18"/>
            <w:szCs w:val="20"/>
          </w:rPr>
          <w:t>16</w:t>
        </w:r>
      </w:hyperlink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捐血機構應訂定年度採集血液計畫，包括捐血量、醫療用血量、供血液製劑製造之原料血量及辦理推展捐血事宜，報請中央主管機關備查。</w:t>
      </w:r>
    </w:p>
    <w:p w:rsidR="00C9472E" w:rsidRPr="006839A5" w:rsidRDefault="00051984" w:rsidP="00683A60">
      <w:pPr>
        <w:pStyle w:val="2"/>
        <w:rPr>
          <w:color w:val="800000"/>
        </w:rPr>
      </w:pPr>
      <w:bookmarkStart w:id="6" w:name="a11"/>
      <w:bookmarkEnd w:id="6"/>
      <w:r>
        <w:rPr>
          <w:color w:val="800000"/>
        </w:rPr>
        <w:t>第</w:t>
      </w:r>
      <w:r>
        <w:rPr>
          <w:color w:val="800000"/>
        </w:rPr>
        <w:t>11</w:t>
      </w:r>
      <w:r>
        <w:rPr>
          <w:color w:val="800000"/>
        </w:rPr>
        <w:t>條</w:t>
      </w:r>
      <w:r w:rsidR="006839A5">
        <w:rPr>
          <w:color w:val="800000"/>
        </w:rPr>
        <w:t>（</w:t>
      </w:r>
      <w:r w:rsidR="00C9472E" w:rsidRPr="006839A5">
        <w:rPr>
          <w:color w:val="800000"/>
        </w:rPr>
        <w:t>血液製劑數量定期報備</w:t>
      </w:r>
      <w:r w:rsidR="006839A5">
        <w:rPr>
          <w:color w:val="800000"/>
        </w:rPr>
        <w:t>）</w:t>
      </w:r>
      <w:r w:rsidR="004A17DB" w:rsidRPr="00683A60">
        <w:rPr>
          <w:rFonts w:hint="eastAsia"/>
          <w:color w:val="5F5F5F"/>
          <w:sz w:val="18"/>
        </w:rPr>
        <w:t>【相關罰則】</w:t>
      </w:r>
      <w:hyperlink w:anchor="a16" w:history="1">
        <w:r w:rsidR="004A17DB" w:rsidRPr="00683A60">
          <w:rPr>
            <w:rStyle w:val="a3"/>
            <w:rFonts w:ascii="Arial Unicode MS" w:hAnsi="Arial Unicode MS" w:hint="eastAsia"/>
            <w:color w:val="5F5F5F"/>
            <w:sz w:val="18"/>
            <w:szCs w:val="20"/>
          </w:rPr>
          <w:t>§</w:t>
        </w:r>
        <w:r w:rsidR="004A17DB" w:rsidRPr="00683A60">
          <w:rPr>
            <w:rStyle w:val="a3"/>
            <w:rFonts w:ascii="Arial Unicode MS" w:hAnsi="Arial Unicode MS" w:hint="eastAsia"/>
            <w:color w:val="5F5F5F"/>
            <w:sz w:val="18"/>
            <w:szCs w:val="20"/>
          </w:rPr>
          <w:t>16</w:t>
        </w:r>
      </w:hyperlink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血液製劑製造、輸入業者，應定期將其預估及實際製造或輸入之血液製劑數量，報請中央主管機關備查。</w:t>
      </w:r>
    </w:p>
    <w:p w:rsidR="00C9472E" w:rsidRPr="006839A5" w:rsidRDefault="00051984" w:rsidP="00683A60">
      <w:pPr>
        <w:pStyle w:val="2"/>
      </w:pPr>
      <w:bookmarkStart w:id="7" w:name="a12"/>
      <w:bookmarkEnd w:id="7"/>
      <w:r>
        <w:t>第</w:t>
      </w:r>
      <w:r>
        <w:t>12</w:t>
      </w:r>
      <w:r>
        <w:t>條</w:t>
      </w:r>
      <w:r w:rsidR="006839A5">
        <w:t>（</w:t>
      </w:r>
      <w:r w:rsidR="00C9472E" w:rsidRPr="006839A5">
        <w:t>年度血液製劑預估需求計畫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中央主管機關應訂定年度血液製劑預估需求計畫，並公告之。</w:t>
      </w:r>
    </w:p>
    <w:p w:rsidR="00C9472E" w:rsidRPr="00E37DFB" w:rsidRDefault="004A17DB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E37DFB">
        <w:rPr>
          <w:rFonts w:ascii="Arial Unicode MS" w:hAnsi="Arial Unicode MS"/>
          <w:color w:val="666699"/>
        </w:rPr>
        <w:t xml:space="preserve">　　</w:t>
      </w:r>
      <w:r w:rsidR="00C9472E" w:rsidRPr="00E37DFB">
        <w:rPr>
          <w:rFonts w:ascii="Arial Unicode MS" w:hAnsi="Arial Unicode MS"/>
          <w:color w:val="666699"/>
        </w:rPr>
        <w:t>前項年度預估需求計畫，應包括下列事項：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E37DFB">
        <w:rPr>
          <w:rFonts w:ascii="Arial Unicode MS" w:hAnsi="Arial Unicode MS"/>
          <w:color w:val="666699"/>
        </w:rPr>
        <w:t xml:space="preserve">　　一、血液製劑之種類。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E37DFB">
        <w:rPr>
          <w:rFonts w:ascii="Arial Unicode MS" w:hAnsi="Arial Unicode MS"/>
          <w:color w:val="666699"/>
        </w:rPr>
        <w:t xml:space="preserve">　　二、年度所需製造與輸入血液製劑之種類及目標量。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E37DFB">
        <w:rPr>
          <w:rFonts w:ascii="Arial Unicode MS" w:hAnsi="Arial Unicode MS"/>
          <w:color w:val="666699"/>
        </w:rPr>
        <w:t xml:space="preserve">　　三、血液製劑製造之目標量所需血液原料量。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E37DFB">
        <w:rPr>
          <w:rFonts w:ascii="Arial Unicode MS" w:hAnsi="Arial Unicode MS"/>
          <w:color w:val="666699"/>
        </w:rPr>
        <w:t xml:space="preserve">　　四、血液製劑之替代性醫藥品量。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E37DFB">
        <w:rPr>
          <w:rFonts w:ascii="Arial Unicode MS" w:hAnsi="Arial Unicode MS"/>
          <w:color w:val="666699"/>
        </w:rPr>
        <w:t xml:space="preserve">　　五、其他有關血液原料有效利用事項。</w:t>
      </w:r>
    </w:p>
    <w:p w:rsidR="00C9472E" w:rsidRPr="006839A5" w:rsidRDefault="00051984" w:rsidP="00683A60">
      <w:pPr>
        <w:pStyle w:val="2"/>
      </w:pPr>
      <w:bookmarkStart w:id="8" w:name="a13"/>
      <w:bookmarkEnd w:id="8"/>
      <w:r>
        <w:t>第</w:t>
      </w:r>
      <w:r>
        <w:t>13</w:t>
      </w:r>
      <w:r>
        <w:t>條</w:t>
      </w:r>
      <w:r w:rsidR="006839A5">
        <w:t>（</w:t>
      </w:r>
      <w:r w:rsidR="00C9472E" w:rsidRPr="006839A5">
        <w:t>提供其他血液製劑製造業者得收取工本費用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捐血機構對於所採集之血液原料，得自為血液製劑製造業者或經中央主管機關核准後，提供其他血液製劑製造業者。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E37DFB">
        <w:rPr>
          <w:rFonts w:ascii="Arial Unicode MS" w:hAnsi="Arial Unicode MS"/>
          <w:color w:val="666699"/>
        </w:rPr>
        <w:t xml:space="preserve">　　捐血機構提供其他血液製劑製造業者，得收取工本費用；其費額，應報中央主管機關核准。</w:t>
      </w:r>
    </w:p>
    <w:p w:rsidR="00C9472E" w:rsidRPr="006839A5" w:rsidRDefault="00051984" w:rsidP="00683A60">
      <w:pPr>
        <w:pStyle w:val="2"/>
      </w:pPr>
      <w:bookmarkStart w:id="9" w:name="a14"/>
      <w:bookmarkEnd w:id="9"/>
      <w:r>
        <w:t>第</w:t>
      </w:r>
      <w:r>
        <w:t>14</w:t>
      </w:r>
      <w:r>
        <w:t>條</w:t>
      </w:r>
      <w:r w:rsidR="006839A5">
        <w:t>（</w:t>
      </w:r>
      <w:r w:rsidR="00C9472E" w:rsidRPr="006839A5">
        <w:rPr>
          <w:szCs w:val="20"/>
        </w:rPr>
        <w:t>健康篩檢</w:t>
      </w:r>
      <w:r w:rsidR="006839A5">
        <w:rPr>
          <w:szCs w:val="20"/>
        </w:rPr>
        <w:t>）</w:t>
      </w:r>
    </w:p>
    <w:p w:rsidR="00C9472E" w:rsidRPr="006839A5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6839A5">
        <w:rPr>
          <w:rFonts w:ascii="Arial Unicode MS" w:hAnsi="Arial Unicode MS"/>
          <w:color w:val="17365D"/>
        </w:rPr>
        <w:t xml:space="preserve">　　捐血機構採集血液應對捐血者實施健康篩檢。</w:t>
      </w:r>
    </w:p>
    <w:p w:rsidR="00C9472E" w:rsidRPr="006839A5" w:rsidRDefault="00C9472E" w:rsidP="00EC670E">
      <w:pPr>
        <w:ind w:leftChars="75" w:left="150"/>
        <w:jc w:val="both"/>
        <w:rPr>
          <w:rFonts w:ascii="Arial Unicode MS" w:hAnsi="Arial Unicode MS"/>
          <w:color w:val="666699"/>
        </w:rPr>
      </w:pPr>
      <w:r w:rsidRPr="006839A5">
        <w:rPr>
          <w:rFonts w:ascii="Arial Unicode MS" w:hAnsi="Arial Unicode MS"/>
          <w:color w:val="666699"/>
        </w:rPr>
        <w:t xml:space="preserve">　　捐血者健康要件之</w:t>
      </w:r>
      <w:hyperlink r:id="rId17" w:history="1">
        <w:r w:rsidRPr="006839A5">
          <w:rPr>
            <w:rStyle w:val="a3"/>
            <w:rFonts w:ascii="Arial Unicode MS" w:hAnsi="Arial Unicode MS"/>
          </w:rPr>
          <w:t>標準</w:t>
        </w:r>
      </w:hyperlink>
      <w:r w:rsidRPr="006839A5">
        <w:rPr>
          <w:rFonts w:ascii="Arial Unicode MS" w:hAnsi="Arial Unicode MS"/>
          <w:color w:val="666699"/>
        </w:rPr>
        <w:t>及前項健康篩檢之項目，由中央主管機關定之。</w:t>
      </w:r>
    </w:p>
    <w:p w:rsidR="00C9472E" w:rsidRPr="006839A5" w:rsidRDefault="00051984" w:rsidP="00683A60">
      <w:pPr>
        <w:pStyle w:val="2"/>
      </w:pPr>
      <w:r>
        <w:t>第</w:t>
      </w:r>
      <w:r>
        <w:t>15</w:t>
      </w:r>
      <w:r>
        <w:t>條</w:t>
      </w:r>
      <w:r w:rsidR="006839A5">
        <w:t>（</w:t>
      </w:r>
      <w:r w:rsidR="00C9472E" w:rsidRPr="006839A5">
        <w:t>相關血液原料資訊之提供</w:t>
      </w:r>
      <w:r w:rsidR="006839A5"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捐血機構於必要時，應提供血液製劑製造業者相關血液原料之採集時間、檢驗項目與結果及捐血者資料等必要資訊，以防止血液原料發生健康危害。</w:t>
      </w:r>
    </w:p>
    <w:p w:rsidR="00C9472E" w:rsidRPr="006839A5" w:rsidRDefault="00051984" w:rsidP="00683A60">
      <w:pPr>
        <w:pStyle w:val="2"/>
      </w:pPr>
      <w:bookmarkStart w:id="10" w:name="a16"/>
      <w:bookmarkEnd w:id="10"/>
      <w:r>
        <w:t>第</w:t>
      </w:r>
      <w:r>
        <w:t>16</w:t>
      </w:r>
      <w:r>
        <w:t>條</w:t>
      </w:r>
      <w:r w:rsidR="006839A5">
        <w:t>（</w:t>
      </w:r>
      <w:r w:rsidR="00C9472E" w:rsidRPr="006839A5">
        <w:rPr>
          <w:szCs w:val="20"/>
        </w:rPr>
        <w:t>連續處罰</w:t>
      </w:r>
      <w:r w:rsidR="006839A5">
        <w:rPr>
          <w:szCs w:val="20"/>
        </w:rPr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違反</w:t>
      </w:r>
      <w:hyperlink w:anchor="a10" w:history="1">
        <w:r w:rsidRPr="00E37DFB">
          <w:rPr>
            <w:rStyle w:val="a3"/>
          </w:rPr>
          <w:t>第十條</w:t>
        </w:r>
      </w:hyperlink>
      <w:r w:rsidRPr="00E37DFB">
        <w:rPr>
          <w:rFonts w:ascii="Arial Unicode MS" w:hAnsi="Arial Unicode MS"/>
          <w:color w:val="17365D"/>
        </w:rPr>
        <w:t>、第</w:t>
      </w:r>
      <w:hyperlink w:anchor="a11" w:history="1">
        <w:r w:rsidRPr="00E37DFB">
          <w:rPr>
            <w:rStyle w:val="a3"/>
          </w:rPr>
          <w:t>十一</w:t>
        </w:r>
      </w:hyperlink>
      <w:r w:rsidRPr="00E37DFB">
        <w:rPr>
          <w:rFonts w:ascii="Arial Unicode MS" w:hAnsi="Arial Unicode MS"/>
          <w:color w:val="17365D"/>
        </w:rPr>
        <w:t>條規定者，由中央主管機關處新臺幣二萬元以上十萬元以下罰鍰，並令其限期改善，屆期未改善者，按次連續處罰。</w:t>
      </w:r>
    </w:p>
    <w:p w:rsidR="00C9472E" w:rsidRPr="006839A5" w:rsidRDefault="00051984" w:rsidP="00683A60">
      <w:pPr>
        <w:pStyle w:val="2"/>
      </w:pPr>
      <w:r>
        <w:t>第</w:t>
      </w:r>
      <w:r>
        <w:t>17</w:t>
      </w:r>
      <w:r>
        <w:t>條</w:t>
      </w:r>
      <w:r w:rsidR="006839A5">
        <w:t>（</w:t>
      </w:r>
      <w:r w:rsidR="00C9472E" w:rsidRPr="006839A5">
        <w:rPr>
          <w:szCs w:val="20"/>
        </w:rPr>
        <w:t>強制執行</w:t>
      </w:r>
      <w:r w:rsidR="006839A5">
        <w:rPr>
          <w:szCs w:val="20"/>
        </w:rPr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依本條例所處之罰鍰，經限期繳納，屆期未繳納者，依法移送強制執行。</w:t>
      </w:r>
    </w:p>
    <w:p w:rsidR="00C9472E" w:rsidRPr="006839A5" w:rsidRDefault="00051984" w:rsidP="00683A60">
      <w:pPr>
        <w:pStyle w:val="2"/>
      </w:pPr>
      <w:bookmarkStart w:id="11" w:name="a18"/>
      <w:bookmarkEnd w:id="11"/>
      <w:r>
        <w:t>第</w:t>
      </w:r>
      <w:r>
        <w:t>18</w:t>
      </w:r>
      <w:r>
        <w:t>條</w:t>
      </w:r>
      <w:r w:rsidR="006839A5">
        <w:t>（</w:t>
      </w:r>
      <w:r w:rsidR="00C9472E" w:rsidRPr="006839A5">
        <w:rPr>
          <w:szCs w:val="20"/>
        </w:rPr>
        <w:t>施行細則</w:t>
      </w:r>
      <w:r w:rsidR="006839A5">
        <w:rPr>
          <w:szCs w:val="20"/>
        </w:rPr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本條例</w:t>
      </w:r>
      <w:hyperlink r:id="rId18" w:history="1">
        <w:r w:rsidRPr="00E37DFB">
          <w:rPr>
            <w:rStyle w:val="a3"/>
          </w:rPr>
          <w:t>施行細則</w:t>
        </w:r>
      </w:hyperlink>
      <w:r w:rsidRPr="00E37DFB">
        <w:rPr>
          <w:rFonts w:ascii="Arial Unicode MS" w:hAnsi="Arial Unicode MS"/>
          <w:color w:val="17365D"/>
        </w:rPr>
        <w:t>，由中央主管機關定之。</w:t>
      </w:r>
    </w:p>
    <w:p w:rsidR="00C9472E" w:rsidRPr="006839A5" w:rsidRDefault="00051984" w:rsidP="00683A60">
      <w:pPr>
        <w:pStyle w:val="2"/>
      </w:pPr>
      <w:r>
        <w:lastRenderedPageBreak/>
        <w:t>第</w:t>
      </w:r>
      <w:r>
        <w:t>19</w:t>
      </w:r>
      <w:r>
        <w:t>條</w:t>
      </w:r>
      <w:r w:rsidR="006839A5">
        <w:t>（</w:t>
      </w:r>
      <w:r w:rsidR="00C9472E" w:rsidRPr="006839A5">
        <w:rPr>
          <w:szCs w:val="20"/>
        </w:rPr>
        <w:t>施行日</w:t>
      </w:r>
      <w:r w:rsidR="006839A5">
        <w:rPr>
          <w:szCs w:val="20"/>
        </w:rPr>
        <w:t>）</w:t>
      </w:r>
    </w:p>
    <w:p w:rsidR="00C9472E" w:rsidRPr="00E37DFB" w:rsidRDefault="00C9472E" w:rsidP="00EC670E">
      <w:pPr>
        <w:ind w:leftChars="75" w:left="150"/>
        <w:jc w:val="both"/>
        <w:rPr>
          <w:rFonts w:ascii="Arial Unicode MS" w:hAnsi="Arial Unicode MS"/>
          <w:color w:val="17365D"/>
        </w:rPr>
      </w:pPr>
      <w:r w:rsidRPr="00E37DFB">
        <w:rPr>
          <w:rFonts w:ascii="Arial Unicode MS" w:hAnsi="Arial Unicode MS"/>
          <w:color w:val="17365D"/>
        </w:rPr>
        <w:t xml:space="preserve">　　本條例自公布後一年施行。</w:t>
      </w:r>
    </w:p>
    <w:p w:rsidR="00C07A62" w:rsidRDefault="00C07A62" w:rsidP="00EC670E">
      <w:pPr>
        <w:ind w:leftChars="75" w:left="150"/>
        <w:jc w:val="both"/>
        <w:rPr>
          <w:rFonts w:ascii="MS Mincho" w:hAnsi="MS Mincho" w:cs="MS Mincho"/>
          <w:color w:val="666699"/>
        </w:rPr>
      </w:pPr>
    </w:p>
    <w:p w:rsidR="006839A5" w:rsidRPr="006839A5" w:rsidRDefault="006839A5" w:rsidP="00EC670E">
      <w:pPr>
        <w:ind w:leftChars="75" w:left="150"/>
        <w:jc w:val="both"/>
        <w:rPr>
          <w:rFonts w:ascii="MS Mincho" w:hAnsi="MS Mincho" w:cs="MS Mincho"/>
          <w:color w:val="666699"/>
        </w:rPr>
      </w:pPr>
    </w:p>
    <w:p w:rsidR="00905994" w:rsidRPr="00C1655B" w:rsidRDefault="00905994" w:rsidP="00905994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2A31ED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:rsidR="00C07A62" w:rsidRPr="00905994" w:rsidRDefault="00905994" w:rsidP="00905994">
      <w:pPr>
        <w:ind w:leftChars="71" w:left="142"/>
        <w:jc w:val="both"/>
        <w:rPr>
          <w:rFonts w:ascii="Arial Unicode MS" w:hAnsi="Arial Unicode MS" w:cs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9" w:history="1">
        <w:r w:rsidRPr="00D13D5E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C07A62" w:rsidRPr="00905994">
      <w:footerReference w:type="even" r:id="rId20"/>
      <w:footerReference w:type="default" r:id="rId2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362" w:rsidRDefault="00403362">
      <w:r>
        <w:separator/>
      </w:r>
    </w:p>
  </w:endnote>
  <w:endnote w:type="continuationSeparator" w:id="0">
    <w:p w:rsidR="00403362" w:rsidRDefault="004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2E" w:rsidRDefault="00C9472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472E" w:rsidRDefault="00C9472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2E" w:rsidRDefault="00C9472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554">
      <w:rPr>
        <w:rStyle w:val="a7"/>
        <w:noProof/>
      </w:rPr>
      <w:t>1</w:t>
    </w:r>
    <w:r>
      <w:rPr>
        <w:rStyle w:val="a7"/>
      </w:rPr>
      <w:fldChar w:fldCharType="end"/>
    </w:r>
  </w:p>
  <w:p w:rsidR="00C07A62" w:rsidRPr="00683A60" w:rsidRDefault="00F8357A" w:rsidP="00C07A62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C07A62" w:rsidRPr="00683A60">
      <w:rPr>
        <w:rFonts w:ascii="Arial Unicode MS" w:hAnsi="Arial Unicode MS" w:hint="eastAsia"/>
        <w:sz w:val="18"/>
      </w:rPr>
      <w:t>血液製劑條例</w:t>
    </w:r>
    <w:r>
      <w:rPr>
        <w:rFonts w:ascii="Arial Unicode MS" w:hAnsi="Arial Unicode MS" w:hint="eastAsia"/>
        <w:sz w:val="18"/>
      </w:rPr>
      <w:t>〉〉</w:t>
    </w:r>
    <w:r w:rsidR="00C07A62" w:rsidRPr="00683A60">
      <w:rPr>
        <w:rFonts w:ascii="Arial Unicode MS" w:hAnsi="Arial Unicode MS" w:hint="eastAsia"/>
        <w:sz w:val="18"/>
      </w:rPr>
      <w:t>S-link</w:t>
    </w:r>
    <w:r w:rsidR="00C07A62" w:rsidRPr="00683A60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362" w:rsidRDefault="00403362">
      <w:r>
        <w:separator/>
      </w:r>
    </w:p>
  </w:footnote>
  <w:footnote w:type="continuationSeparator" w:id="0">
    <w:p w:rsidR="00403362" w:rsidRDefault="0040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abstractNum w:abstractNumId="1" w15:restartNumberingAfterBreak="0">
    <w:nsid w:val="63F0348A"/>
    <w:multiLevelType w:val="hybridMultilevel"/>
    <w:tmpl w:val="DB607870"/>
    <w:lvl w:ilvl="0" w:tplc="0E4CF334">
      <w:start w:val="1"/>
      <w:numFmt w:val="decimal"/>
      <w:suff w:val="space"/>
      <w:lvlText w:val="%1."/>
      <w:lvlJc w:val="left"/>
      <w:pPr>
        <w:ind w:left="316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72E"/>
    <w:rsid w:val="0003283C"/>
    <w:rsid w:val="00051984"/>
    <w:rsid w:val="000C2FB8"/>
    <w:rsid w:val="00124C21"/>
    <w:rsid w:val="0014103E"/>
    <w:rsid w:val="00151F85"/>
    <w:rsid w:val="00260CB3"/>
    <w:rsid w:val="002B306E"/>
    <w:rsid w:val="002D72FF"/>
    <w:rsid w:val="00310FFF"/>
    <w:rsid w:val="003B419F"/>
    <w:rsid w:val="003F108C"/>
    <w:rsid w:val="003F6461"/>
    <w:rsid w:val="00403268"/>
    <w:rsid w:val="00403362"/>
    <w:rsid w:val="00461702"/>
    <w:rsid w:val="00487643"/>
    <w:rsid w:val="004A17DB"/>
    <w:rsid w:val="004B64D2"/>
    <w:rsid w:val="00514B5C"/>
    <w:rsid w:val="00551E5D"/>
    <w:rsid w:val="006475FF"/>
    <w:rsid w:val="006839A5"/>
    <w:rsid w:val="00683A60"/>
    <w:rsid w:val="00700A32"/>
    <w:rsid w:val="00700DF5"/>
    <w:rsid w:val="007A69D4"/>
    <w:rsid w:val="008544D9"/>
    <w:rsid w:val="00905994"/>
    <w:rsid w:val="0092038C"/>
    <w:rsid w:val="009E6AEF"/>
    <w:rsid w:val="00A14CA8"/>
    <w:rsid w:val="00A50CA3"/>
    <w:rsid w:val="00A67F78"/>
    <w:rsid w:val="00AD3A5A"/>
    <w:rsid w:val="00AD7550"/>
    <w:rsid w:val="00B62CCB"/>
    <w:rsid w:val="00B969D9"/>
    <w:rsid w:val="00BB72AA"/>
    <w:rsid w:val="00BC2807"/>
    <w:rsid w:val="00C07A62"/>
    <w:rsid w:val="00C30299"/>
    <w:rsid w:val="00C67C6C"/>
    <w:rsid w:val="00C9472E"/>
    <w:rsid w:val="00CD2388"/>
    <w:rsid w:val="00CD2BF3"/>
    <w:rsid w:val="00D24896"/>
    <w:rsid w:val="00DF45E2"/>
    <w:rsid w:val="00E37DFB"/>
    <w:rsid w:val="00EC670E"/>
    <w:rsid w:val="00F32A4A"/>
    <w:rsid w:val="00F64D7B"/>
    <w:rsid w:val="00F8357A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435B6"/>
  <w15:docId w15:val="{476343D2-5FAF-4202-A1AB-E9B36C1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683A60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BB72AA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683A60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683A60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683A60"/>
    <w:rPr>
      <w:rFonts w:ascii="Arial Unicode MS" w:hAnsi="Arial Unicode MS" w:cs="Arial Unicode MS"/>
      <w:bCs/>
      <w:color w:val="990000"/>
      <w:kern w:val="2"/>
      <w:szCs w:val="48"/>
    </w:rPr>
  </w:style>
  <w:style w:type="character" w:styleId="aa">
    <w:name w:val="Unresolved Mention"/>
    <w:uiPriority w:val="99"/>
    <w:semiHidden/>
    <w:unhideWhenUsed/>
    <w:rsid w:val="008544D9"/>
    <w:rPr>
      <w:color w:val="605E5C"/>
      <w:shd w:val="clear" w:color="auto" w:fill="E1DFDD"/>
    </w:rPr>
  </w:style>
  <w:style w:type="character" w:customStyle="1" w:styleId="30">
    <w:name w:val="標題 3 字元"/>
    <w:link w:val="3"/>
    <w:rsid w:val="00BB72AA"/>
    <w:rPr>
      <w:rFonts w:ascii="Arial Unicode MS" w:hAnsi="Arial Unicode MS" w:cs="Arial Unicode MS"/>
      <w:bCs/>
      <w:color w:val="808000"/>
      <w:kern w:val="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http://www.6law.idv.tw/6law/law/&#34880;&#28082;&#35069;&#21137;&#26781;&#20363;.htm" TargetMode="External"/><Relationship Id="rId18" Type="http://schemas.openxmlformats.org/officeDocument/2006/relationships/hyperlink" Target="../law3/&#34880;&#28082;&#35069;&#21137;&#26781;&#20363;&#26045;&#34892;&#32048;&#21063;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../S-link&#38651;&#23376;&#20845;&#27861;&#32317;&#32034;&#24341;.docx" TargetMode="External"/><Relationship Id="rId17" Type="http://schemas.openxmlformats.org/officeDocument/2006/relationships/hyperlink" Target="../law3/&#25424;&#34880;&#32773;&#20581;&#24247;&#27161;&#28310;.docx" TargetMode="External"/><Relationship Id="rId2" Type="http://schemas.openxmlformats.org/officeDocument/2006/relationships/styles" Target="styles.xml"/><Relationship Id="rId16" Type="http://schemas.openxmlformats.org/officeDocument/2006/relationships/hyperlink" Target="../diff/index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6law/law/&#34880;&#28082;&#35069;&#21137;&#26781;&#20363;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../law/&#34277;&#20107;&#27861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cebook.com/anita6law" TargetMode="External"/><Relationship Id="rId19" Type="http://schemas.openxmlformats.org/officeDocument/2006/relationships/hyperlink" Target="http://www.6law.idv.tw/com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HistoryIf.aspx?PCode=L0020118" TargetMode="External"/><Relationship Id="rId14" Type="http://schemas.openxmlformats.org/officeDocument/2006/relationships/hyperlink" Target="../law/&#37291;&#30274;&#27861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Links>
    <vt:vector size="102" baseType="variant">
      <vt:variant>
        <vt:i4>2949124</vt:i4>
      </vt:variant>
      <vt:variant>
        <vt:i4>48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45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42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39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-1430359873</vt:i4>
      </vt:variant>
      <vt:variant>
        <vt:i4>33</vt:i4>
      </vt:variant>
      <vt:variant>
        <vt:i4>0</vt:i4>
      </vt:variant>
      <vt:variant>
        <vt:i4>5</vt:i4>
      </vt:variant>
      <vt:variant>
        <vt:lpwstr>../law3/血液製劑條例施行細則.doc</vt:lpwstr>
      </vt:variant>
      <vt:variant>
        <vt:lpwstr/>
      </vt:variant>
      <vt:variant>
        <vt:i4>3211361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a11</vt:lpwstr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-1301818557</vt:i4>
      </vt:variant>
      <vt:variant>
        <vt:i4>24</vt:i4>
      </vt:variant>
      <vt:variant>
        <vt:i4>0</vt:i4>
      </vt:variant>
      <vt:variant>
        <vt:i4>5</vt:i4>
      </vt:variant>
      <vt:variant>
        <vt:lpwstr>../law3/捐血者健康標準.doc</vt:lpwstr>
      </vt:variant>
      <vt:variant>
        <vt:lpwstr/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a16</vt:lpwstr>
      </vt:variant>
      <vt:variant>
        <vt:i4>3211361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a16</vt:lpwstr>
      </vt:variant>
      <vt:variant>
        <vt:i4>1321920852</vt:i4>
      </vt:variant>
      <vt:variant>
        <vt:i4>15</vt:i4>
      </vt:variant>
      <vt:variant>
        <vt:i4>0</vt:i4>
      </vt:variant>
      <vt:variant>
        <vt:i4>5</vt:i4>
      </vt:variant>
      <vt:variant>
        <vt:lpwstr>藥事法.doc</vt:lpwstr>
      </vt:variant>
      <vt:variant>
        <vt:lpwstr/>
      </vt:variant>
      <vt:variant>
        <vt:i4>1979972890</vt:i4>
      </vt:variant>
      <vt:variant>
        <vt:i4>12</vt:i4>
      </vt:variant>
      <vt:variant>
        <vt:i4>0</vt:i4>
      </vt:variant>
      <vt:variant>
        <vt:i4>5</vt:i4>
      </vt:variant>
      <vt:variant>
        <vt:lpwstr>醫療法.doc</vt:lpwstr>
      </vt:variant>
      <vt:variant>
        <vt:lpwstr/>
      </vt:variant>
      <vt:variant>
        <vt:i4>1895065717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http://www.6law.idv.tw/6law/law/血液製劑條例.htm</vt:lpwstr>
      </vt:variant>
      <vt:variant>
        <vt:lpwstr/>
      </vt:variant>
      <vt:variant>
        <vt:i4>-421115192</vt:i4>
      </vt:variant>
      <vt:variant>
        <vt:i4>6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血液製劑條例</dc:title>
  <dc:subject/>
  <dc:creator>S-link 電子六法-黃婉玲</dc:creator>
  <cp:keywords/>
  <dc:description/>
  <cp:lastModifiedBy>黃婉玲 S-link電子六法</cp:lastModifiedBy>
  <cp:revision>20</cp:revision>
  <dcterms:created xsi:type="dcterms:W3CDTF">2014-11-27T09:35:00Z</dcterms:created>
  <dcterms:modified xsi:type="dcterms:W3CDTF">2019-01-02T14:18:00Z</dcterms:modified>
</cp:coreProperties>
</file>